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A99068">
      <w:pPr>
        <w:pStyle w:val="3"/>
        <w:jc w:val="center"/>
        <w:rPr>
          <w:rFonts w:hint="eastAsia"/>
          <w:sz w:val="52"/>
          <w:szCs w:val="32"/>
          <w:lang w:val="en-US" w:eastAsia="zh-CN"/>
        </w:rPr>
      </w:pPr>
      <w:r>
        <w:rPr>
          <w:rFonts w:hint="eastAsia"/>
          <w:sz w:val="52"/>
          <w:szCs w:val="32"/>
          <w:lang w:val="en-US" w:eastAsia="zh-CN"/>
        </w:rPr>
        <w:t>项目申报文本</w:t>
      </w:r>
    </w:p>
    <w:p w14:paraId="79B64EE1">
      <w:pPr>
        <w:jc w:val="both"/>
        <w:rPr>
          <w:rFonts w:hint="eastAsia"/>
          <w:sz w:val="32"/>
          <w:szCs w:val="32"/>
          <w:lang w:val="en-US" w:eastAsia="zh-CN"/>
        </w:rPr>
      </w:pPr>
    </w:p>
    <w:p w14:paraId="66506F43">
      <w:pPr>
        <w:jc w:val="both"/>
        <w:rPr>
          <w:rFonts w:hint="eastAsia"/>
          <w:sz w:val="32"/>
          <w:szCs w:val="32"/>
          <w:lang w:val="en-US" w:eastAsia="zh-CN"/>
        </w:rPr>
      </w:pPr>
      <w:r>
        <w:rPr>
          <w:rFonts w:hint="eastAsia"/>
          <w:sz w:val="32"/>
          <w:szCs w:val="32"/>
          <w:lang w:val="en-US" w:eastAsia="zh-CN"/>
        </w:rPr>
        <w:t>北京市大兴区黄村镇平安建设办公室（安全科）</w:t>
      </w:r>
    </w:p>
    <w:p w14:paraId="1D985525">
      <w:pPr>
        <w:jc w:val="both"/>
        <w:rPr>
          <w:rFonts w:hint="eastAsia"/>
          <w:sz w:val="32"/>
          <w:szCs w:val="32"/>
          <w:lang w:val="en-US" w:eastAsia="zh-CN"/>
        </w:rPr>
      </w:pPr>
      <w:r>
        <w:rPr>
          <w:rFonts w:hint="eastAsia"/>
          <w:sz w:val="32"/>
          <w:szCs w:val="32"/>
          <w:lang w:val="en-US" w:eastAsia="zh-CN"/>
        </w:rPr>
        <w:t>——</w:t>
      </w:r>
      <w:bookmarkStart w:id="0" w:name="_GoBack"/>
      <w:r>
        <w:rPr>
          <w:rFonts w:hint="eastAsia"/>
          <w:sz w:val="32"/>
          <w:szCs w:val="32"/>
          <w:lang w:val="en-US" w:eastAsia="zh-CN"/>
        </w:rPr>
        <w:t>安全技能知识提升服务(50%)</w:t>
      </w:r>
      <w:bookmarkEnd w:id="0"/>
      <w:r>
        <w:rPr>
          <w:rFonts w:hint="eastAsia"/>
          <w:sz w:val="32"/>
          <w:szCs w:val="32"/>
          <w:lang w:val="en-US" w:eastAsia="zh-CN"/>
        </w:rPr>
        <w:t>项目</w:t>
      </w:r>
    </w:p>
    <w:p w14:paraId="40E03DDA">
      <w:pPr>
        <w:rPr>
          <w:rFonts w:hint="eastAsia"/>
          <w:sz w:val="32"/>
          <w:szCs w:val="32"/>
          <w:lang w:val="en-US" w:eastAsia="zh-CN"/>
        </w:rPr>
      </w:pPr>
    </w:p>
    <w:p w14:paraId="65FA7F9B">
      <w:pPr>
        <w:rPr>
          <w:rFonts w:hint="eastAsia"/>
          <w:sz w:val="32"/>
          <w:szCs w:val="32"/>
          <w:lang w:val="en-US" w:eastAsia="zh-CN"/>
        </w:rPr>
      </w:pPr>
    </w:p>
    <w:p w14:paraId="134ADD21">
      <w:pPr>
        <w:rPr>
          <w:rFonts w:hint="eastAsia"/>
          <w:sz w:val="32"/>
          <w:szCs w:val="32"/>
          <w:lang w:val="en-US" w:eastAsia="zh-CN"/>
        </w:rPr>
      </w:pPr>
    </w:p>
    <w:p w14:paraId="0A148608">
      <w:pPr>
        <w:rPr>
          <w:rFonts w:hint="eastAsia"/>
          <w:sz w:val="32"/>
          <w:szCs w:val="32"/>
          <w:lang w:val="en-US" w:eastAsia="zh-CN"/>
        </w:rPr>
      </w:pPr>
    </w:p>
    <w:p w14:paraId="6613C2A7">
      <w:pPr>
        <w:rPr>
          <w:rFonts w:hint="eastAsia"/>
          <w:sz w:val="32"/>
          <w:szCs w:val="32"/>
          <w:lang w:val="en-US" w:eastAsia="zh-CN"/>
        </w:rPr>
      </w:pPr>
    </w:p>
    <w:p w14:paraId="428474BB">
      <w:pPr>
        <w:rPr>
          <w:rFonts w:hint="eastAsia"/>
          <w:sz w:val="32"/>
          <w:szCs w:val="32"/>
          <w:lang w:val="en-US" w:eastAsia="zh-CN"/>
        </w:rPr>
      </w:pPr>
      <w:r>
        <w:rPr>
          <w:rFonts w:hint="eastAsia"/>
          <w:sz w:val="32"/>
          <w:szCs w:val="32"/>
          <w:lang w:val="en-US" w:eastAsia="zh-CN"/>
        </w:rPr>
        <w:t>项目申报单位（科室）：平安建设办公室（安全科）</w:t>
      </w:r>
    </w:p>
    <w:p w14:paraId="24224F31">
      <w:pPr>
        <w:rPr>
          <w:rFonts w:hint="eastAsia"/>
          <w:sz w:val="32"/>
          <w:szCs w:val="32"/>
          <w:lang w:val="en-US" w:eastAsia="zh-CN"/>
        </w:rPr>
      </w:pPr>
      <w:r>
        <w:rPr>
          <w:rFonts w:hint="eastAsia"/>
          <w:sz w:val="32"/>
          <w:szCs w:val="32"/>
          <w:lang w:val="en-US" w:eastAsia="zh-CN"/>
        </w:rPr>
        <w:t>主管部门（区直或镇）：黄村镇政府</w:t>
      </w:r>
    </w:p>
    <w:p w14:paraId="74BC3B12">
      <w:pPr>
        <w:rPr>
          <w:rFonts w:hint="eastAsia"/>
          <w:sz w:val="32"/>
          <w:szCs w:val="32"/>
          <w:lang w:val="en-US" w:eastAsia="zh-CN"/>
        </w:rPr>
      </w:pPr>
      <w:r>
        <w:rPr>
          <w:rFonts w:hint="eastAsia"/>
          <w:sz w:val="32"/>
          <w:szCs w:val="32"/>
          <w:lang w:val="en-US" w:eastAsia="zh-CN"/>
        </w:rPr>
        <w:t>项目实施年度：2025年</w:t>
      </w:r>
    </w:p>
    <w:p w14:paraId="4A8B4432">
      <w:pPr>
        <w:rPr>
          <w:rFonts w:hint="eastAsia"/>
          <w:sz w:val="32"/>
          <w:szCs w:val="32"/>
          <w:lang w:val="en-US" w:eastAsia="zh-CN"/>
        </w:rPr>
      </w:pPr>
      <w:r>
        <w:rPr>
          <w:rFonts w:hint="eastAsia"/>
          <w:sz w:val="32"/>
          <w:szCs w:val="32"/>
          <w:lang w:val="en-US" w:eastAsia="zh-CN"/>
        </w:rPr>
        <w:t>项目申报时间：2024年8月</w:t>
      </w:r>
    </w:p>
    <w:p w14:paraId="52BEF666">
      <w:pPr>
        <w:rPr>
          <w:rFonts w:hint="eastAsia"/>
          <w:sz w:val="32"/>
          <w:szCs w:val="32"/>
          <w:lang w:val="en-US" w:eastAsia="zh-CN"/>
        </w:rPr>
      </w:pPr>
    </w:p>
    <w:p w14:paraId="662CE434">
      <w:pPr>
        <w:rPr>
          <w:rFonts w:hint="eastAsia"/>
          <w:sz w:val="32"/>
          <w:szCs w:val="32"/>
          <w:lang w:val="en-US" w:eastAsia="zh-CN"/>
        </w:rPr>
      </w:pPr>
    </w:p>
    <w:p w14:paraId="29907744">
      <w:pPr>
        <w:rPr>
          <w:rFonts w:hint="eastAsia"/>
          <w:sz w:val="32"/>
          <w:szCs w:val="32"/>
          <w:lang w:val="en-US" w:eastAsia="zh-CN"/>
        </w:rPr>
      </w:pPr>
    </w:p>
    <w:p w14:paraId="187F01B8">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14:paraId="69D3B621">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14:paraId="5DAC9917">
      <w:pPr>
        <w:jc w:val="center"/>
        <w:rPr>
          <w:rFonts w:hint="eastAsia"/>
          <w:b/>
          <w:bCs/>
          <w:sz w:val="52"/>
          <w:szCs w:val="52"/>
          <w:lang w:val="en-US" w:eastAsia="zh-CN"/>
        </w:rPr>
      </w:pPr>
      <w:r>
        <w:rPr>
          <w:rFonts w:hint="eastAsia"/>
          <w:b/>
          <w:bCs/>
          <w:sz w:val="52"/>
          <w:szCs w:val="52"/>
          <w:lang w:val="en-US" w:eastAsia="zh-CN"/>
        </w:rPr>
        <w:t>项目申报文本</w:t>
      </w:r>
    </w:p>
    <w:tbl>
      <w:tblPr>
        <w:tblStyle w:val="6"/>
        <w:tblpPr w:leftFromText="180" w:rightFromText="180" w:vertAnchor="text" w:horzAnchor="page" w:tblpXSpec="center" w:tblpY="168"/>
        <w:tblOverlap w:val="never"/>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14:paraId="4AA2D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160B5B23">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14:paraId="26265570">
            <w:pPr>
              <w:jc w:val="left"/>
              <w:rPr>
                <w:rFonts w:hint="eastAsia"/>
                <w:b w:val="0"/>
                <w:bCs w:val="0"/>
                <w:sz w:val="24"/>
                <w:szCs w:val="24"/>
                <w:lang w:val="en-US" w:eastAsia="zh-CN"/>
              </w:rPr>
            </w:pPr>
            <w:r>
              <w:rPr>
                <w:rFonts w:hint="eastAsia"/>
              </w:rPr>
              <w:t>安全技能知识提升服务(50%)</w:t>
            </w:r>
          </w:p>
        </w:tc>
      </w:tr>
      <w:tr w14:paraId="6BAA9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2CA23597">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shd w:val="clear" w:color="auto" w:fill="auto"/>
            <w:vAlign w:val="center"/>
          </w:tcPr>
          <w:p w14:paraId="58E4EFAF">
            <w:pPr>
              <w:jc w:val="left"/>
              <w:rPr>
                <w:rFonts w:hint="eastAsia" w:ascii="Calibri" w:hAnsi="Calibri" w:eastAsia="宋体" w:cs="黑体"/>
                <w:b w:val="0"/>
                <w:bCs w:val="0"/>
                <w:kern w:val="2"/>
                <w:sz w:val="24"/>
                <w:szCs w:val="24"/>
                <w:lang w:val="en-US" w:eastAsia="zh-CN" w:bidi="ar-SA"/>
              </w:rPr>
            </w:pPr>
            <w:r>
              <w:rPr>
                <w:rFonts w:hint="eastAsia"/>
                <w:b w:val="0"/>
                <w:bCs w:val="0"/>
                <w:sz w:val="24"/>
                <w:szCs w:val="24"/>
                <w:vertAlign w:val="baseline"/>
                <w:lang w:val="en-US" w:eastAsia="zh-CN"/>
              </w:rPr>
              <w:t>平安建设办公室（安全科）</w:t>
            </w:r>
          </w:p>
        </w:tc>
        <w:tc>
          <w:tcPr>
            <w:tcW w:w="2052" w:type="dxa"/>
            <w:vAlign w:val="center"/>
          </w:tcPr>
          <w:p w14:paraId="11B19600">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shd w:val="clear" w:color="auto" w:fill="auto"/>
            <w:vAlign w:val="center"/>
          </w:tcPr>
          <w:p w14:paraId="1D3C5F97">
            <w:pPr>
              <w:jc w:val="left"/>
              <w:rPr>
                <w:rFonts w:hint="eastAsia" w:ascii="Calibri" w:hAnsi="Calibri" w:eastAsia="宋体" w:cs="黑体"/>
                <w:b w:val="0"/>
                <w:bCs w:val="0"/>
                <w:kern w:val="2"/>
                <w:sz w:val="24"/>
                <w:szCs w:val="24"/>
                <w:lang w:val="en-US" w:eastAsia="zh-CN" w:bidi="ar-SA"/>
              </w:rPr>
            </w:pPr>
            <w:r>
              <w:rPr>
                <w:rFonts w:hint="eastAsia"/>
                <w:b w:val="0"/>
                <w:bCs w:val="0"/>
                <w:sz w:val="24"/>
                <w:szCs w:val="24"/>
                <w:vertAlign w:val="baseline"/>
                <w:lang w:val="en-US" w:eastAsia="zh-CN"/>
              </w:rPr>
              <w:t>黄村镇政府</w:t>
            </w:r>
          </w:p>
        </w:tc>
      </w:tr>
      <w:tr w14:paraId="2B0ED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7739B222">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shd w:val="clear" w:color="auto" w:fill="auto"/>
            <w:vAlign w:val="center"/>
          </w:tcPr>
          <w:p w14:paraId="360BB9BB">
            <w:pPr>
              <w:jc w:val="left"/>
              <w:rPr>
                <w:rFonts w:hint="eastAsia" w:ascii="Calibri" w:hAnsi="Calibri" w:eastAsia="宋体" w:cs="黑体"/>
                <w:b w:val="0"/>
                <w:bCs w:val="0"/>
                <w:kern w:val="2"/>
                <w:sz w:val="24"/>
                <w:szCs w:val="24"/>
                <w:lang w:val="en-US" w:eastAsia="zh-CN" w:bidi="ar-SA"/>
              </w:rPr>
            </w:pPr>
            <w:r>
              <w:rPr>
                <w:rFonts w:hint="eastAsia" w:cs="黑体"/>
                <w:b w:val="0"/>
                <w:bCs w:val="0"/>
                <w:kern w:val="2"/>
                <w:sz w:val="24"/>
                <w:szCs w:val="24"/>
                <w:lang w:val="en-US" w:eastAsia="zh-CN" w:bidi="ar-SA"/>
              </w:rPr>
              <w:t>欧阳鹏</w:t>
            </w:r>
          </w:p>
        </w:tc>
        <w:tc>
          <w:tcPr>
            <w:tcW w:w="2052" w:type="dxa"/>
            <w:vAlign w:val="center"/>
          </w:tcPr>
          <w:p w14:paraId="74911B48">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shd w:val="clear" w:color="auto" w:fill="auto"/>
            <w:vAlign w:val="center"/>
          </w:tcPr>
          <w:p w14:paraId="51C2FCA7">
            <w:pPr>
              <w:jc w:val="left"/>
              <w:rPr>
                <w:rFonts w:hint="eastAsia" w:ascii="Calibri" w:hAnsi="Calibri" w:eastAsia="宋体" w:cs="黑体"/>
                <w:b w:val="0"/>
                <w:bCs w:val="0"/>
                <w:kern w:val="2"/>
                <w:sz w:val="24"/>
                <w:szCs w:val="24"/>
                <w:lang w:val="en-US" w:eastAsia="zh-CN" w:bidi="ar-SA"/>
              </w:rPr>
            </w:pPr>
            <w:r>
              <w:rPr>
                <w:rFonts w:hint="eastAsia"/>
                <w:b w:val="0"/>
                <w:bCs w:val="0"/>
                <w:sz w:val="24"/>
                <w:szCs w:val="24"/>
                <w:vertAlign w:val="baseline"/>
                <w:lang w:val="en-US" w:eastAsia="zh-CN"/>
              </w:rPr>
              <w:t>69262526</w:t>
            </w:r>
          </w:p>
        </w:tc>
      </w:tr>
      <w:tr w14:paraId="49EF7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5B1EEEAD">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14:paraId="18C2A523">
            <w:pPr>
              <w:jc w:val="left"/>
              <w:rPr>
                <w:rFonts w:hint="eastAsia"/>
                <w:b w:val="0"/>
                <w:bCs w:val="0"/>
                <w:sz w:val="24"/>
                <w:szCs w:val="24"/>
                <w:lang w:val="en-US" w:eastAsia="zh-CN"/>
              </w:rPr>
            </w:pPr>
          </w:p>
        </w:tc>
        <w:tc>
          <w:tcPr>
            <w:tcW w:w="2052" w:type="dxa"/>
            <w:vAlign w:val="center"/>
          </w:tcPr>
          <w:p w14:paraId="0497EC14">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shd w:val="clear" w:color="auto" w:fill="auto"/>
            <w:vAlign w:val="center"/>
          </w:tcPr>
          <w:p w14:paraId="042B6A33">
            <w:pPr>
              <w:jc w:val="left"/>
              <w:rPr>
                <w:rFonts w:hint="eastAsia" w:ascii="Calibri" w:hAnsi="Calibri" w:eastAsia="宋体" w:cs="黑体"/>
                <w:b w:val="0"/>
                <w:bCs w:val="0"/>
                <w:kern w:val="2"/>
                <w:sz w:val="24"/>
                <w:szCs w:val="24"/>
                <w:lang w:val="en-US" w:eastAsia="zh-CN" w:bidi="ar-SA"/>
              </w:rPr>
            </w:pPr>
            <w:r>
              <w:rPr>
                <w:rFonts w:hint="eastAsia"/>
                <w:b w:val="0"/>
                <w:bCs w:val="0"/>
                <w:sz w:val="24"/>
                <w:szCs w:val="24"/>
                <w:vertAlign w:val="baseline"/>
                <w:lang w:val="en-US" w:eastAsia="zh-CN"/>
              </w:rPr>
              <w:t>其他政府购买服务类</w:t>
            </w:r>
          </w:p>
        </w:tc>
      </w:tr>
      <w:tr w14:paraId="28DEF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3B508C6A">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14:paraId="1E09C4BD">
            <w:pPr>
              <w:jc w:val="left"/>
              <w:rPr>
                <w:rFonts w:hint="eastAsia"/>
                <w:b w:val="0"/>
                <w:bCs w:val="0"/>
                <w:sz w:val="24"/>
                <w:szCs w:val="24"/>
                <w:lang w:val="en-US" w:eastAsia="zh-CN"/>
              </w:rPr>
            </w:pPr>
          </w:p>
        </w:tc>
        <w:tc>
          <w:tcPr>
            <w:tcW w:w="2052" w:type="dxa"/>
            <w:vAlign w:val="center"/>
          </w:tcPr>
          <w:p w14:paraId="6E7E4D55">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shd w:val="clear" w:color="auto" w:fill="auto"/>
            <w:vAlign w:val="center"/>
          </w:tcPr>
          <w:p w14:paraId="06F66656">
            <w:pPr>
              <w:jc w:val="left"/>
              <w:rPr>
                <w:rFonts w:hint="eastAsia" w:ascii="Calibri" w:hAnsi="Calibri" w:eastAsia="宋体" w:cs="黑体"/>
                <w:b w:val="0"/>
                <w:bCs w:val="0"/>
                <w:kern w:val="2"/>
                <w:sz w:val="24"/>
                <w:szCs w:val="24"/>
                <w:lang w:val="en-US" w:eastAsia="zh-CN" w:bidi="ar-SA"/>
              </w:rPr>
            </w:pPr>
            <w:r>
              <w:rPr>
                <w:rFonts w:hint="eastAsia"/>
                <w:b w:val="0"/>
                <w:bCs w:val="0"/>
                <w:sz w:val="24"/>
                <w:szCs w:val="24"/>
                <w:lang w:val="en-US" w:eastAsia="zh-CN"/>
              </w:rPr>
              <w:t>否</w:t>
            </w:r>
          </w:p>
        </w:tc>
      </w:tr>
      <w:tr w14:paraId="2A3A4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404C9EE3">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14:paraId="53ECDC82">
            <w:pPr>
              <w:jc w:val="left"/>
              <w:rPr>
                <w:rFonts w:hint="eastAsia"/>
                <w:b w:val="0"/>
                <w:bCs w:val="0"/>
                <w:sz w:val="24"/>
                <w:szCs w:val="24"/>
                <w:lang w:val="en-US" w:eastAsia="zh-CN"/>
              </w:rPr>
            </w:pPr>
          </w:p>
        </w:tc>
        <w:tc>
          <w:tcPr>
            <w:tcW w:w="2052" w:type="dxa"/>
            <w:vAlign w:val="center"/>
          </w:tcPr>
          <w:p w14:paraId="7F5450CE">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14:paraId="07F9712F">
            <w:pPr>
              <w:jc w:val="left"/>
              <w:rPr>
                <w:rFonts w:hint="eastAsia"/>
                <w:b w:val="0"/>
                <w:bCs w:val="0"/>
                <w:sz w:val="24"/>
                <w:szCs w:val="24"/>
                <w:lang w:val="en-US" w:eastAsia="zh-CN"/>
              </w:rPr>
            </w:pPr>
          </w:p>
        </w:tc>
      </w:tr>
      <w:tr w14:paraId="7205F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1F0DBFE2">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14:paraId="03C9A6B9">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14:paraId="15FD835C">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14:paraId="5C196CDF">
            <w:pPr>
              <w:jc w:val="left"/>
              <w:rPr>
                <w:rFonts w:hint="eastAsia"/>
                <w:b w:val="0"/>
                <w:bCs w:val="0"/>
                <w:sz w:val="24"/>
                <w:szCs w:val="24"/>
                <w:lang w:val="en-US" w:eastAsia="zh-CN"/>
              </w:rPr>
            </w:pPr>
          </w:p>
        </w:tc>
      </w:tr>
      <w:tr w14:paraId="3C7DB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39A88F48">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14:paraId="0DB4342B">
            <w:pPr>
              <w:jc w:val="left"/>
              <w:rPr>
                <w:rFonts w:hint="eastAsia"/>
                <w:b w:val="0"/>
                <w:bCs w:val="0"/>
                <w:sz w:val="24"/>
                <w:szCs w:val="24"/>
                <w:lang w:val="en-US" w:eastAsia="zh-CN"/>
              </w:rPr>
            </w:pPr>
          </w:p>
        </w:tc>
      </w:tr>
      <w:tr w14:paraId="5633F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3FDA9BE2">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14:paraId="4F4366E1">
            <w:pPr>
              <w:jc w:val="left"/>
              <w:rPr>
                <w:rFonts w:hint="eastAsia"/>
                <w:b w:val="0"/>
                <w:bCs w:val="0"/>
                <w:sz w:val="24"/>
                <w:szCs w:val="24"/>
                <w:lang w:val="en-US" w:eastAsia="zh-CN"/>
              </w:rPr>
            </w:pPr>
          </w:p>
        </w:tc>
      </w:tr>
      <w:tr w14:paraId="672DE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1" w:hRule="atLeast"/>
          <w:jc w:val="center"/>
        </w:trPr>
        <w:tc>
          <w:tcPr>
            <w:tcW w:w="2160" w:type="dxa"/>
            <w:vAlign w:val="center"/>
          </w:tcPr>
          <w:p w14:paraId="412BF0B8">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14:paraId="60B7061D">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仿宋" w:hAnsi="仿宋" w:eastAsia="仿宋" w:cs="仿宋"/>
                <w:sz w:val="32"/>
                <w:szCs w:val="32"/>
                <w:lang w:val="en-US" w:eastAsia="zh-CN"/>
              </w:rPr>
            </w:pPr>
            <w:r>
              <w:rPr>
                <w:rFonts w:hint="eastAsia" w:ascii="仿宋_GB2312" w:hAnsi="宋体" w:eastAsia="仿宋_GB2312"/>
                <w:sz w:val="32"/>
                <w:szCs w:val="32"/>
              </w:rPr>
              <w:t>为</w:t>
            </w:r>
            <w:r>
              <w:rPr>
                <w:rFonts w:hint="eastAsia" w:ascii="仿宋_GB2312" w:hAnsi="宋体" w:eastAsia="仿宋_GB2312"/>
                <w:sz w:val="32"/>
                <w:szCs w:val="32"/>
                <w:lang w:eastAsia="zh-CN"/>
              </w:rPr>
              <w:t>进一步</w:t>
            </w:r>
            <w:r>
              <w:rPr>
                <w:rFonts w:hint="eastAsia" w:ascii="仿宋" w:hAnsi="仿宋" w:eastAsia="仿宋" w:cs="仿宋"/>
                <w:sz w:val="32"/>
                <w:szCs w:val="32"/>
                <w:lang w:eastAsia="zh-CN"/>
              </w:rPr>
              <w:t>提高黄村镇检查人员安全素质（含村、社区）、辖区内企业生产安全意识、村（社）居民安全意识，普及应急知识，系统开展</w:t>
            </w:r>
            <w:r>
              <w:rPr>
                <w:rFonts w:hint="eastAsia" w:ascii="仿宋" w:hAnsi="仿宋" w:eastAsia="仿宋" w:cs="仿宋"/>
                <w:sz w:val="32"/>
                <w:szCs w:val="32"/>
                <w:lang w:val="en-US" w:eastAsia="zh-CN"/>
              </w:rPr>
              <w:t>2024年黄村镇安全技能知识提升行动，培训内容为：燃气安全管理知识、电动充电安全、有限空间管理、用电安全、安动火作业安全知识、危险化学品管理、建筑施工危险作业等安全培训，培训对象为：黄村镇检查人员、企业员工、村(社区）居民、学生等，培训方式以专业知识讲授、实操演练等方式进行。</w:t>
            </w:r>
          </w:p>
          <w:p w14:paraId="194D08C8">
            <w:pPr>
              <w:jc w:val="left"/>
              <w:rPr>
                <w:rFonts w:hint="eastAsia"/>
                <w:b w:val="0"/>
                <w:bCs w:val="0"/>
                <w:sz w:val="24"/>
                <w:szCs w:val="24"/>
                <w:lang w:val="en-US" w:eastAsia="zh-CN"/>
              </w:rPr>
            </w:pPr>
          </w:p>
        </w:tc>
      </w:tr>
    </w:tbl>
    <w:p w14:paraId="31AFE133">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14:paraId="458F09FF">
      <w:pPr>
        <w:jc w:val="center"/>
        <w:rPr>
          <w:rFonts w:hint="eastAsia"/>
          <w:b/>
          <w:bCs/>
          <w:sz w:val="36"/>
          <w:szCs w:val="36"/>
          <w:lang w:val="en-US" w:eastAsia="zh-CN"/>
        </w:rPr>
      </w:pPr>
      <w:r>
        <w:rPr>
          <w:rFonts w:hint="eastAsia"/>
          <w:b/>
          <w:bCs/>
          <w:sz w:val="36"/>
          <w:szCs w:val="36"/>
          <w:lang w:val="en-US" w:eastAsia="zh-CN"/>
        </w:rPr>
        <w:t>项目支出预算明细表</w:t>
      </w:r>
    </w:p>
    <w:p w14:paraId="572CECAA">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14:paraId="2BF75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4111005C">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14:paraId="40AEB773">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14:paraId="19AC03D4">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14:paraId="6611FEDA">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14:paraId="3408F853">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14:paraId="64ECDA81">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14:paraId="20CA8EE9">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14:paraId="024CD0D7">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14:paraId="00CAB96B">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14:paraId="5A6A62CB">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14:paraId="687E2F57">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14:paraId="5037E8B2">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14:paraId="528282F9">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14:paraId="7D8036D0">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14:paraId="1FFEE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shd w:val="clear" w:color="auto" w:fill="auto"/>
            <w:vAlign w:val="center"/>
          </w:tcPr>
          <w:p w14:paraId="64DDDB1E">
            <w:pPr>
              <w:jc w:val="left"/>
              <w:rPr>
                <w:rFonts w:hint="eastAsia" w:ascii="宋体" w:hAnsi="宋体" w:eastAsia="宋体" w:cs="宋体"/>
                <w:b w:val="0"/>
                <w:bCs w:val="0"/>
                <w:kern w:val="2"/>
                <w:sz w:val="24"/>
                <w:szCs w:val="24"/>
                <w:lang w:val="en-US" w:eastAsia="zh-CN" w:bidi="ar-SA"/>
              </w:rPr>
            </w:pPr>
            <w:r>
              <w:rPr>
                <w:rFonts w:hint="eastAsia"/>
                <w:b w:val="0"/>
                <w:bCs w:val="0"/>
                <w:sz w:val="24"/>
                <w:szCs w:val="24"/>
                <w:lang w:val="en-US" w:eastAsia="zh-CN"/>
              </w:rPr>
              <w:t>安全技能知识提升服务(50%)</w:t>
            </w:r>
          </w:p>
        </w:tc>
        <w:tc>
          <w:tcPr>
            <w:tcW w:w="1012" w:type="dxa"/>
            <w:shd w:val="clear" w:color="auto" w:fill="auto"/>
            <w:vAlign w:val="center"/>
          </w:tcPr>
          <w:p w14:paraId="74BFCB78">
            <w:pPr>
              <w:jc w:val="left"/>
              <w:rPr>
                <w:rFonts w:hint="eastAsia" w:ascii="宋体" w:hAnsi="宋体" w:eastAsia="宋体" w:cs="宋体"/>
                <w:b w:val="0"/>
                <w:bCs w:val="0"/>
                <w:kern w:val="2"/>
                <w:sz w:val="24"/>
                <w:szCs w:val="24"/>
                <w:lang w:val="en-US" w:eastAsia="zh-CN" w:bidi="ar-SA"/>
              </w:rPr>
            </w:pPr>
          </w:p>
        </w:tc>
        <w:tc>
          <w:tcPr>
            <w:tcW w:w="1012" w:type="dxa"/>
            <w:shd w:val="clear" w:color="auto" w:fill="auto"/>
            <w:vAlign w:val="center"/>
          </w:tcPr>
          <w:p w14:paraId="3664DC5D">
            <w:pPr>
              <w:jc w:val="left"/>
              <w:rPr>
                <w:rFonts w:hint="eastAsia" w:ascii="宋体" w:hAnsi="宋体" w:eastAsia="宋体" w:cs="宋体"/>
                <w:b w:val="0"/>
                <w:bCs w:val="0"/>
                <w:kern w:val="2"/>
                <w:sz w:val="24"/>
                <w:szCs w:val="24"/>
                <w:lang w:val="en-US" w:eastAsia="zh-CN" w:bidi="ar-SA"/>
              </w:rPr>
            </w:pPr>
          </w:p>
        </w:tc>
        <w:tc>
          <w:tcPr>
            <w:tcW w:w="1012" w:type="dxa"/>
            <w:shd w:val="clear" w:color="auto" w:fill="auto"/>
            <w:vAlign w:val="center"/>
          </w:tcPr>
          <w:p w14:paraId="5B9199F0">
            <w:pPr>
              <w:jc w:val="left"/>
              <w:rPr>
                <w:rFonts w:hint="eastAsia" w:ascii="宋体" w:hAnsi="宋体" w:eastAsia="宋体" w:cs="宋体"/>
                <w:b w:val="0"/>
                <w:bCs w:val="0"/>
                <w:kern w:val="2"/>
                <w:sz w:val="24"/>
                <w:szCs w:val="24"/>
                <w:lang w:val="en-US" w:eastAsia="zh-CN" w:bidi="ar-SA"/>
              </w:rPr>
            </w:pPr>
          </w:p>
        </w:tc>
        <w:tc>
          <w:tcPr>
            <w:tcW w:w="1012" w:type="dxa"/>
            <w:shd w:val="clear" w:color="auto" w:fill="auto"/>
            <w:vAlign w:val="center"/>
          </w:tcPr>
          <w:p w14:paraId="78E69020">
            <w:pPr>
              <w:jc w:val="left"/>
              <w:rPr>
                <w:rFonts w:hint="eastAsia" w:ascii="宋体" w:hAnsi="宋体" w:eastAsia="宋体" w:cs="宋体"/>
                <w:b w:val="0"/>
                <w:bCs w:val="0"/>
                <w:kern w:val="2"/>
                <w:sz w:val="24"/>
                <w:szCs w:val="24"/>
                <w:lang w:val="en-US" w:eastAsia="zh-CN" w:bidi="ar-SA"/>
              </w:rPr>
            </w:pPr>
          </w:p>
        </w:tc>
        <w:tc>
          <w:tcPr>
            <w:tcW w:w="1012" w:type="dxa"/>
            <w:shd w:val="clear" w:color="auto" w:fill="auto"/>
            <w:vAlign w:val="center"/>
          </w:tcPr>
          <w:p w14:paraId="5DD8F525">
            <w:pPr>
              <w:jc w:val="left"/>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szCs w:val="24"/>
                <w:lang w:val="en-US" w:eastAsia="zh-CN"/>
              </w:rPr>
              <w:t>黄村镇</w:t>
            </w:r>
          </w:p>
        </w:tc>
        <w:tc>
          <w:tcPr>
            <w:tcW w:w="1012" w:type="dxa"/>
            <w:shd w:val="clear" w:color="auto" w:fill="auto"/>
            <w:vAlign w:val="center"/>
          </w:tcPr>
          <w:p w14:paraId="5D431E08">
            <w:pPr>
              <w:jc w:val="left"/>
              <w:rPr>
                <w:rFonts w:hint="eastAsia" w:ascii="宋体" w:hAnsi="宋体" w:eastAsia="宋体" w:cs="宋体"/>
                <w:b w:val="0"/>
                <w:bCs w:val="0"/>
                <w:kern w:val="2"/>
                <w:sz w:val="24"/>
                <w:szCs w:val="24"/>
                <w:lang w:val="en-US" w:eastAsia="zh-CN" w:bidi="ar-SA"/>
              </w:rPr>
            </w:pPr>
          </w:p>
        </w:tc>
        <w:tc>
          <w:tcPr>
            <w:tcW w:w="1012" w:type="dxa"/>
            <w:shd w:val="clear" w:color="auto" w:fill="auto"/>
            <w:vAlign w:val="center"/>
          </w:tcPr>
          <w:p w14:paraId="48A988A8">
            <w:pPr>
              <w:jc w:val="left"/>
              <w:rPr>
                <w:rFonts w:hint="eastAsia" w:ascii="宋体" w:hAnsi="宋体" w:eastAsia="宋体" w:cs="宋体"/>
                <w:b w:val="0"/>
                <w:bCs w:val="0"/>
                <w:kern w:val="2"/>
                <w:sz w:val="24"/>
                <w:szCs w:val="24"/>
                <w:lang w:val="en-US" w:eastAsia="zh-CN" w:bidi="ar-SA"/>
              </w:rPr>
            </w:pPr>
          </w:p>
        </w:tc>
        <w:tc>
          <w:tcPr>
            <w:tcW w:w="1013" w:type="dxa"/>
            <w:shd w:val="clear" w:color="auto" w:fill="auto"/>
            <w:vAlign w:val="center"/>
          </w:tcPr>
          <w:p w14:paraId="33D51F09">
            <w:pPr>
              <w:jc w:val="left"/>
              <w:rPr>
                <w:rFonts w:hint="eastAsia" w:ascii="宋体" w:hAnsi="宋体" w:eastAsia="宋体" w:cs="宋体"/>
                <w:b w:val="0"/>
                <w:bCs w:val="0"/>
                <w:kern w:val="2"/>
                <w:sz w:val="24"/>
                <w:szCs w:val="24"/>
                <w:lang w:val="en-US" w:eastAsia="zh-CN" w:bidi="ar-SA"/>
              </w:rPr>
            </w:pPr>
          </w:p>
        </w:tc>
        <w:tc>
          <w:tcPr>
            <w:tcW w:w="1013" w:type="dxa"/>
            <w:shd w:val="clear" w:color="auto" w:fill="auto"/>
            <w:vAlign w:val="center"/>
          </w:tcPr>
          <w:p w14:paraId="7EFBE859">
            <w:pPr>
              <w:jc w:val="left"/>
              <w:rPr>
                <w:rFonts w:hint="eastAsia" w:ascii="宋体" w:hAnsi="宋体" w:eastAsia="宋体" w:cs="宋体"/>
                <w:b w:val="0"/>
                <w:bCs w:val="0"/>
                <w:kern w:val="2"/>
                <w:sz w:val="24"/>
                <w:szCs w:val="24"/>
                <w:lang w:val="en-US" w:eastAsia="zh-CN" w:bidi="ar-SA"/>
              </w:rPr>
            </w:pPr>
          </w:p>
        </w:tc>
        <w:tc>
          <w:tcPr>
            <w:tcW w:w="1013" w:type="dxa"/>
            <w:shd w:val="clear" w:color="auto" w:fill="auto"/>
            <w:vAlign w:val="center"/>
          </w:tcPr>
          <w:p w14:paraId="03B284CE">
            <w:pPr>
              <w:jc w:val="left"/>
              <w:rPr>
                <w:rFonts w:hint="eastAsia" w:ascii="宋体" w:hAnsi="宋体" w:eastAsia="宋体" w:cs="宋体"/>
                <w:b w:val="0"/>
                <w:bCs w:val="0"/>
                <w:kern w:val="2"/>
                <w:sz w:val="24"/>
                <w:szCs w:val="24"/>
                <w:lang w:val="en-US" w:eastAsia="zh-CN" w:bidi="ar-SA"/>
              </w:rPr>
            </w:pPr>
          </w:p>
        </w:tc>
        <w:tc>
          <w:tcPr>
            <w:tcW w:w="1013" w:type="dxa"/>
            <w:shd w:val="clear" w:color="auto" w:fill="auto"/>
            <w:vAlign w:val="center"/>
          </w:tcPr>
          <w:p w14:paraId="3590C61E">
            <w:pPr>
              <w:jc w:val="left"/>
              <w:rPr>
                <w:rFonts w:hint="eastAsia" w:ascii="宋体" w:hAnsi="宋体" w:eastAsia="宋体" w:cs="宋体"/>
                <w:b w:val="0"/>
                <w:bCs w:val="0"/>
                <w:kern w:val="2"/>
                <w:sz w:val="24"/>
                <w:szCs w:val="24"/>
                <w:lang w:val="en-US" w:eastAsia="zh-CN" w:bidi="ar-SA"/>
              </w:rPr>
            </w:pPr>
          </w:p>
        </w:tc>
        <w:tc>
          <w:tcPr>
            <w:tcW w:w="1013" w:type="dxa"/>
            <w:shd w:val="clear" w:color="auto" w:fill="auto"/>
            <w:vAlign w:val="center"/>
          </w:tcPr>
          <w:p w14:paraId="15B85321">
            <w:pPr>
              <w:jc w:val="left"/>
              <w:rPr>
                <w:rFonts w:hint="eastAsia" w:ascii="宋体" w:hAnsi="宋体" w:eastAsia="宋体" w:cs="宋体"/>
                <w:b w:val="0"/>
                <w:bCs w:val="0"/>
                <w:kern w:val="2"/>
                <w:sz w:val="24"/>
                <w:szCs w:val="24"/>
                <w:lang w:val="en-US" w:eastAsia="zh-CN" w:bidi="ar-SA"/>
              </w:rPr>
            </w:pPr>
          </w:p>
        </w:tc>
        <w:tc>
          <w:tcPr>
            <w:tcW w:w="1013" w:type="dxa"/>
            <w:shd w:val="clear" w:color="auto" w:fill="auto"/>
            <w:vAlign w:val="center"/>
          </w:tcPr>
          <w:p w14:paraId="63322959">
            <w:pPr>
              <w:jc w:val="left"/>
              <w:rPr>
                <w:rFonts w:hint="default" w:ascii="宋体" w:hAnsi="宋体" w:eastAsia="宋体" w:cs="宋体"/>
                <w:b w:val="0"/>
                <w:bCs w:val="0"/>
                <w:kern w:val="2"/>
                <w:sz w:val="24"/>
                <w:szCs w:val="24"/>
                <w:lang w:val="en-US" w:eastAsia="zh-CN" w:bidi="ar-SA"/>
              </w:rPr>
            </w:pPr>
            <w:r>
              <w:rPr>
                <w:rFonts w:hint="eastAsia" w:ascii="宋体" w:hAnsi="宋体" w:cs="宋体"/>
                <w:b w:val="0"/>
                <w:bCs w:val="0"/>
                <w:sz w:val="24"/>
                <w:szCs w:val="24"/>
                <w:lang w:val="en-US" w:eastAsia="zh-CN"/>
              </w:rPr>
              <w:t>32.86</w:t>
            </w:r>
          </w:p>
        </w:tc>
      </w:tr>
      <w:tr w14:paraId="323FE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48B5FA32">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14:paraId="5F25E9D4">
            <w:pPr>
              <w:jc w:val="left"/>
              <w:rPr>
                <w:rFonts w:hint="eastAsia" w:ascii="宋体" w:hAnsi="宋体" w:eastAsia="宋体" w:cs="宋体"/>
                <w:b w:val="0"/>
                <w:bCs w:val="0"/>
                <w:sz w:val="24"/>
                <w:szCs w:val="24"/>
                <w:lang w:val="en-US" w:eastAsia="zh-CN"/>
              </w:rPr>
            </w:pPr>
          </w:p>
        </w:tc>
        <w:tc>
          <w:tcPr>
            <w:tcW w:w="1012" w:type="dxa"/>
            <w:vAlign w:val="center"/>
          </w:tcPr>
          <w:p w14:paraId="3200E5AF">
            <w:pPr>
              <w:jc w:val="left"/>
              <w:rPr>
                <w:rFonts w:hint="eastAsia" w:ascii="宋体" w:hAnsi="宋体" w:eastAsia="宋体" w:cs="宋体"/>
                <w:b w:val="0"/>
                <w:bCs w:val="0"/>
                <w:sz w:val="24"/>
                <w:szCs w:val="24"/>
                <w:lang w:val="en-US" w:eastAsia="zh-CN"/>
              </w:rPr>
            </w:pPr>
          </w:p>
        </w:tc>
        <w:tc>
          <w:tcPr>
            <w:tcW w:w="1012" w:type="dxa"/>
            <w:vAlign w:val="center"/>
          </w:tcPr>
          <w:p w14:paraId="70657C5F">
            <w:pPr>
              <w:jc w:val="left"/>
              <w:rPr>
                <w:rFonts w:hint="eastAsia" w:ascii="宋体" w:hAnsi="宋体" w:eastAsia="宋体" w:cs="宋体"/>
                <w:b w:val="0"/>
                <w:bCs w:val="0"/>
                <w:sz w:val="24"/>
                <w:szCs w:val="24"/>
                <w:lang w:val="en-US" w:eastAsia="zh-CN"/>
              </w:rPr>
            </w:pPr>
          </w:p>
        </w:tc>
        <w:tc>
          <w:tcPr>
            <w:tcW w:w="1012" w:type="dxa"/>
            <w:vAlign w:val="center"/>
          </w:tcPr>
          <w:p w14:paraId="3150EEE0">
            <w:pPr>
              <w:jc w:val="left"/>
              <w:rPr>
                <w:rFonts w:hint="eastAsia" w:ascii="宋体" w:hAnsi="宋体" w:eastAsia="宋体" w:cs="宋体"/>
                <w:b w:val="0"/>
                <w:bCs w:val="0"/>
                <w:sz w:val="24"/>
                <w:szCs w:val="24"/>
                <w:lang w:val="en-US" w:eastAsia="zh-CN"/>
              </w:rPr>
            </w:pPr>
          </w:p>
        </w:tc>
        <w:tc>
          <w:tcPr>
            <w:tcW w:w="1012" w:type="dxa"/>
            <w:vAlign w:val="center"/>
          </w:tcPr>
          <w:p w14:paraId="59B13816">
            <w:pPr>
              <w:jc w:val="left"/>
              <w:rPr>
                <w:rFonts w:hint="eastAsia" w:ascii="宋体" w:hAnsi="宋体" w:eastAsia="宋体" w:cs="宋体"/>
                <w:b w:val="0"/>
                <w:bCs w:val="0"/>
                <w:sz w:val="24"/>
                <w:szCs w:val="24"/>
                <w:lang w:val="en-US" w:eastAsia="zh-CN"/>
              </w:rPr>
            </w:pPr>
          </w:p>
        </w:tc>
        <w:tc>
          <w:tcPr>
            <w:tcW w:w="1012" w:type="dxa"/>
            <w:vAlign w:val="center"/>
          </w:tcPr>
          <w:p w14:paraId="3620E978">
            <w:pPr>
              <w:jc w:val="left"/>
              <w:rPr>
                <w:rFonts w:hint="eastAsia" w:ascii="宋体" w:hAnsi="宋体" w:eastAsia="宋体" w:cs="宋体"/>
                <w:b w:val="0"/>
                <w:bCs w:val="0"/>
                <w:sz w:val="24"/>
                <w:szCs w:val="24"/>
                <w:lang w:val="en-US" w:eastAsia="zh-CN"/>
              </w:rPr>
            </w:pPr>
          </w:p>
        </w:tc>
        <w:tc>
          <w:tcPr>
            <w:tcW w:w="1012" w:type="dxa"/>
            <w:vAlign w:val="center"/>
          </w:tcPr>
          <w:p w14:paraId="059B087C">
            <w:pPr>
              <w:jc w:val="left"/>
              <w:rPr>
                <w:rFonts w:hint="eastAsia" w:ascii="宋体" w:hAnsi="宋体" w:eastAsia="宋体" w:cs="宋体"/>
                <w:b w:val="0"/>
                <w:bCs w:val="0"/>
                <w:sz w:val="24"/>
                <w:szCs w:val="24"/>
                <w:lang w:val="en-US" w:eastAsia="zh-CN"/>
              </w:rPr>
            </w:pPr>
          </w:p>
        </w:tc>
        <w:tc>
          <w:tcPr>
            <w:tcW w:w="1013" w:type="dxa"/>
            <w:vAlign w:val="center"/>
          </w:tcPr>
          <w:p w14:paraId="2A72C920">
            <w:pPr>
              <w:jc w:val="left"/>
              <w:rPr>
                <w:rFonts w:hint="eastAsia" w:ascii="宋体" w:hAnsi="宋体" w:eastAsia="宋体" w:cs="宋体"/>
                <w:b w:val="0"/>
                <w:bCs w:val="0"/>
                <w:sz w:val="24"/>
                <w:szCs w:val="24"/>
                <w:lang w:val="en-US" w:eastAsia="zh-CN"/>
              </w:rPr>
            </w:pPr>
          </w:p>
        </w:tc>
        <w:tc>
          <w:tcPr>
            <w:tcW w:w="1013" w:type="dxa"/>
            <w:vAlign w:val="center"/>
          </w:tcPr>
          <w:p w14:paraId="0EF82FAB">
            <w:pPr>
              <w:jc w:val="left"/>
              <w:rPr>
                <w:rFonts w:hint="eastAsia" w:ascii="宋体" w:hAnsi="宋体" w:eastAsia="宋体" w:cs="宋体"/>
                <w:b w:val="0"/>
                <w:bCs w:val="0"/>
                <w:sz w:val="24"/>
                <w:szCs w:val="24"/>
                <w:lang w:val="en-US" w:eastAsia="zh-CN"/>
              </w:rPr>
            </w:pPr>
          </w:p>
        </w:tc>
        <w:tc>
          <w:tcPr>
            <w:tcW w:w="1013" w:type="dxa"/>
            <w:vAlign w:val="center"/>
          </w:tcPr>
          <w:p w14:paraId="32B6BB0B">
            <w:pPr>
              <w:jc w:val="left"/>
              <w:rPr>
                <w:rFonts w:hint="eastAsia" w:ascii="宋体" w:hAnsi="宋体" w:eastAsia="宋体" w:cs="宋体"/>
                <w:b w:val="0"/>
                <w:bCs w:val="0"/>
                <w:sz w:val="24"/>
                <w:szCs w:val="24"/>
                <w:lang w:val="en-US" w:eastAsia="zh-CN"/>
              </w:rPr>
            </w:pPr>
          </w:p>
        </w:tc>
        <w:tc>
          <w:tcPr>
            <w:tcW w:w="1013" w:type="dxa"/>
            <w:vAlign w:val="center"/>
          </w:tcPr>
          <w:p w14:paraId="124079B3">
            <w:pPr>
              <w:jc w:val="left"/>
              <w:rPr>
                <w:rFonts w:hint="eastAsia" w:ascii="宋体" w:hAnsi="宋体" w:eastAsia="宋体" w:cs="宋体"/>
                <w:b w:val="0"/>
                <w:bCs w:val="0"/>
                <w:sz w:val="24"/>
                <w:szCs w:val="24"/>
                <w:lang w:val="en-US" w:eastAsia="zh-CN"/>
              </w:rPr>
            </w:pPr>
          </w:p>
        </w:tc>
        <w:tc>
          <w:tcPr>
            <w:tcW w:w="1013" w:type="dxa"/>
            <w:vAlign w:val="center"/>
          </w:tcPr>
          <w:p w14:paraId="4E642776">
            <w:pPr>
              <w:jc w:val="left"/>
              <w:rPr>
                <w:rFonts w:hint="eastAsia" w:ascii="宋体" w:hAnsi="宋体" w:eastAsia="宋体" w:cs="宋体"/>
                <w:b w:val="0"/>
                <w:bCs w:val="0"/>
                <w:sz w:val="24"/>
                <w:szCs w:val="24"/>
                <w:lang w:val="en-US" w:eastAsia="zh-CN"/>
              </w:rPr>
            </w:pPr>
          </w:p>
        </w:tc>
        <w:tc>
          <w:tcPr>
            <w:tcW w:w="1013" w:type="dxa"/>
            <w:vAlign w:val="center"/>
          </w:tcPr>
          <w:p w14:paraId="6319963C">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32.86</w:t>
            </w:r>
          </w:p>
        </w:tc>
      </w:tr>
    </w:tbl>
    <w:p w14:paraId="64317E0A">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14:paraId="225D8436">
      <w:pPr>
        <w:ind w:firstLine="2650" w:firstLineChars="600"/>
        <w:rPr>
          <w:rFonts w:hint="eastAsia"/>
          <w:b/>
          <w:bCs/>
          <w:sz w:val="44"/>
          <w:szCs w:val="44"/>
          <w:lang w:val="en-US" w:eastAsia="zh-CN"/>
        </w:rPr>
      </w:pPr>
      <w:r>
        <w:rPr>
          <w:rFonts w:hint="eastAsia"/>
          <w:b/>
          <w:bCs/>
          <w:sz w:val="44"/>
          <w:szCs w:val="44"/>
          <w:lang w:val="en-US" w:eastAsia="zh-CN"/>
        </w:rPr>
        <w:t>项目可行性报告</w:t>
      </w:r>
    </w:p>
    <w:p w14:paraId="1DC202EC">
      <w:pPr>
        <w:jc w:val="center"/>
        <w:rPr>
          <w:rFonts w:hint="eastAsia"/>
          <w:b/>
          <w:bCs/>
          <w:sz w:val="44"/>
          <w:szCs w:val="44"/>
          <w:lang w:val="en-US" w:eastAsia="zh-CN"/>
        </w:rPr>
      </w:pPr>
    </w:p>
    <w:p w14:paraId="146345F5">
      <w:pPr>
        <w:jc w:val="both"/>
        <w:rPr>
          <w:rFonts w:hint="eastAsia"/>
          <w:b/>
          <w:bCs/>
          <w:sz w:val="44"/>
          <w:szCs w:val="44"/>
          <w:lang w:val="en-US" w:eastAsia="zh-CN"/>
        </w:rPr>
      </w:pPr>
    </w:p>
    <w:p w14:paraId="32E9625A">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14:paraId="54FF2067">
      <w:pPr>
        <w:numPr>
          <w:ilvl w:val="0"/>
          <w:numId w:val="0"/>
        </w:numPr>
        <w:ind w:firstLine="641"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6"/>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14:paraId="1895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3B3678EC">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14:paraId="2D0A7D08">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vertAlign w:val="baseline"/>
                <w:lang w:val="en-US" w:eastAsia="zh-CN"/>
              </w:rPr>
              <w:t>黄村镇</w:t>
            </w:r>
            <w:r>
              <w:rPr>
                <w:rFonts w:hint="eastAsia" w:ascii="宋体" w:hAnsi="宋体" w:cs="宋体"/>
                <w:b w:val="0"/>
                <w:bCs w:val="0"/>
                <w:sz w:val="28"/>
                <w:szCs w:val="28"/>
                <w:vertAlign w:val="baseline"/>
                <w:lang w:val="en-US" w:eastAsia="zh-CN"/>
              </w:rPr>
              <w:t>平安建设办公室（安全科）</w:t>
            </w:r>
          </w:p>
        </w:tc>
        <w:tc>
          <w:tcPr>
            <w:tcW w:w="1992" w:type="dxa"/>
            <w:vAlign w:val="top"/>
          </w:tcPr>
          <w:p w14:paraId="47F79879">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14:paraId="0375845F">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北京市大兴区黄村镇后辛庄村委会斜对面黄村镇第二办公区（217）</w:t>
            </w:r>
          </w:p>
        </w:tc>
      </w:tr>
      <w:tr w14:paraId="29827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3A42966E">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14:paraId="3E12A416">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vertAlign w:val="baseline"/>
                <w:lang w:val="en-US" w:eastAsia="zh-CN"/>
              </w:rPr>
              <w:t>69262652</w:t>
            </w:r>
          </w:p>
        </w:tc>
        <w:tc>
          <w:tcPr>
            <w:tcW w:w="1992" w:type="dxa"/>
            <w:vAlign w:val="top"/>
          </w:tcPr>
          <w:p w14:paraId="68214FC6">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14:paraId="4C9C1E90">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102600</w:t>
            </w:r>
          </w:p>
        </w:tc>
      </w:tr>
      <w:tr w14:paraId="735D4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7889D5E6">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14:paraId="317268B3">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vertAlign w:val="baseline"/>
                <w:lang w:val="en-US" w:eastAsia="zh-CN"/>
              </w:rPr>
              <w:t>区应急管理局、区防火委</w:t>
            </w:r>
          </w:p>
        </w:tc>
        <w:tc>
          <w:tcPr>
            <w:tcW w:w="1992" w:type="dxa"/>
            <w:vAlign w:val="top"/>
          </w:tcPr>
          <w:p w14:paraId="0D1F5D64">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14:paraId="21A3A43E">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王璐</w:t>
            </w:r>
          </w:p>
        </w:tc>
      </w:tr>
    </w:tbl>
    <w:p w14:paraId="466BA015">
      <w:pPr>
        <w:numPr>
          <w:ilvl w:val="0"/>
          <w:numId w:val="0"/>
        </w:numPr>
        <w:ind w:left="803" w:leftChars="0"/>
        <w:jc w:val="left"/>
        <w:rPr>
          <w:rFonts w:hint="eastAsia" w:ascii="华文隶书" w:hAnsi="华文隶书" w:eastAsia="华文隶书" w:cs="华文隶书"/>
          <w:b/>
          <w:bCs/>
          <w:sz w:val="32"/>
          <w:szCs w:val="32"/>
          <w:lang w:val="en-US" w:eastAsia="zh-CN"/>
        </w:rPr>
      </w:pPr>
    </w:p>
    <w:p w14:paraId="05543D3D">
      <w:pPr>
        <w:numPr>
          <w:ilvl w:val="0"/>
          <w:numId w:val="0"/>
        </w:numPr>
        <w:ind w:left="803" w:leftChars="0"/>
        <w:jc w:val="left"/>
        <w:rPr>
          <w:rFonts w:hint="eastAsia" w:ascii="华文隶书" w:hAnsi="华文隶书" w:eastAsia="华文隶书" w:cs="华文隶书"/>
          <w:b/>
          <w:bCs/>
          <w:sz w:val="32"/>
          <w:szCs w:val="32"/>
          <w:lang w:val="en-US" w:eastAsia="zh-CN"/>
        </w:rPr>
      </w:pPr>
    </w:p>
    <w:p w14:paraId="20FD7816">
      <w:pPr>
        <w:numPr>
          <w:ilvl w:val="0"/>
          <w:numId w:val="0"/>
        </w:numPr>
        <w:ind w:firstLine="641"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14:paraId="7D27A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7AECAC11">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14:paraId="3FB0FEA3">
            <w:pPr>
              <w:numPr>
                <w:ilvl w:val="0"/>
                <w:numId w:val="0"/>
              </w:numPr>
              <w:jc w:val="left"/>
              <w:rPr>
                <w:rFonts w:hint="eastAsia" w:ascii="宋体" w:hAnsi="宋体" w:eastAsia="宋体" w:cs="宋体"/>
                <w:b w:val="0"/>
                <w:bCs w:val="0"/>
                <w:sz w:val="28"/>
                <w:szCs w:val="28"/>
                <w:lang w:val="en-US" w:eastAsia="zh-CN"/>
              </w:rPr>
            </w:pPr>
            <w:r>
              <w:rPr>
                <w:rFonts w:hint="eastAsia"/>
              </w:rPr>
              <w:t>安全技能知识提升服务(50%)</w:t>
            </w:r>
          </w:p>
        </w:tc>
      </w:tr>
      <w:tr w14:paraId="69A8D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5C065D2B">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14:paraId="60715858">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r>
              <w:rPr>
                <w:rFonts w:hint="eastAsia" w:ascii="宋体" w:hAnsi="宋体" w:cs="宋体"/>
                <w:b w:val="0"/>
                <w:bCs w:val="0"/>
                <w:sz w:val="28"/>
                <w:szCs w:val="28"/>
                <w:lang w:val="en-US" w:eastAsia="zh-CN"/>
              </w:rPr>
              <w:t>☑</w:t>
            </w:r>
          </w:p>
        </w:tc>
      </w:tr>
      <w:tr w14:paraId="0C783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71D6D17B">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14:paraId="6844218F">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2.新增项目</w:t>
            </w:r>
            <w:r>
              <w:rPr>
                <w:rFonts w:hint="eastAsia" w:ascii="宋体" w:hAnsi="宋体" w:cs="宋体"/>
                <w:b w:val="0"/>
                <w:bCs w:val="0"/>
                <w:sz w:val="28"/>
                <w:szCs w:val="28"/>
                <w:lang w:val="en-US" w:eastAsia="zh-CN"/>
              </w:rPr>
              <w:t>□</w:t>
            </w:r>
          </w:p>
        </w:tc>
      </w:tr>
    </w:tbl>
    <w:p w14:paraId="20B607FF">
      <w:pPr>
        <w:numPr>
          <w:ilvl w:val="0"/>
          <w:numId w:val="0"/>
        </w:numPr>
        <w:jc w:val="left"/>
        <w:rPr>
          <w:rFonts w:hint="eastAsia" w:ascii="宋体" w:hAnsi="宋体" w:eastAsia="宋体" w:cs="宋体"/>
          <w:b w:val="0"/>
          <w:bCs w:val="0"/>
          <w:sz w:val="28"/>
          <w:szCs w:val="28"/>
          <w:lang w:val="en-US" w:eastAsia="zh-CN"/>
        </w:rPr>
      </w:pPr>
    </w:p>
    <w:p w14:paraId="7AA47A29">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p>
    <w:p w14:paraId="63F29BB8">
      <w:pPr>
        <w:numPr>
          <w:ilvl w:val="0"/>
          <w:numId w:val="0"/>
        </w:numPr>
        <w:jc w:val="left"/>
        <w:rPr>
          <w:rFonts w:hint="default" w:ascii="宋体" w:hAnsi="宋体" w:eastAsia="宋体" w:cs="宋体"/>
          <w:b w:val="0"/>
          <w:bCs w:val="0"/>
          <w:sz w:val="28"/>
          <w:szCs w:val="28"/>
          <w:lang w:val="en-US" w:eastAsia="zh-CN"/>
        </w:rPr>
      </w:pPr>
      <w:r>
        <w:rPr>
          <w:rFonts w:hint="eastAsia" w:ascii="仿宋" w:hAnsi="仿宋" w:eastAsia="仿宋" w:cs="仿宋"/>
          <w:sz w:val="32"/>
          <w:szCs w:val="32"/>
          <w:lang w:val="en-US" w:eastAsia="zh-CN"/>
        </w:rPr>
        <w:t>对桂村小型消防站、宋庄小型消防站进行标准化建设</w:t>
      </w:r>
    </w:p>
    <w:p w14:paraId="04E3EA2D">
      <w:pPr>
        <w:pStyle w:val="2"/>
        <w:ind w:left="0" w:leftChars="0" w:firstLine="0" w:firstLineChars="0"/>
        <w:rPr>
          <w:rFonts w:hint="eastAsia" w:ascii="宋体" w:hAnsi="宋体" w:eastAsia="宋体" w:cs="宋体"/>
          <w:b w:val="0"/>
          <w:bCs w:val="0"/>
          <w:sz w:val="28"/>
          <w:szCs w:val="28"/>
          <w:lang w:val="en-US" w:eastAsia="zh-CN"/>
        </w:rPr>
      </w:pPr>
    </w:p>
    <w:p w14:paraId="4C064E7B">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p>
    <w:p w14:paraId="1BDF1E6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40" w:leftChars="0"/>
        <w:jc w:val="center"/>
        <w:textAlignment w:val="auto"/>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2024年安全技能知识提升培训计划</w:t>
      </w:r>
    </w:p>
    <w:tbl>
      <w:tblPr>
        <w:tblStyle w:val="5"/>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00"/>
        <w:gridCol w:w="1100"/>
        <w:gridCol w:w="2425"/>
        <w:gridCol w:w="2574"/>
        <w:gridCol w:w="879"/>
        <w:gridCol w:w="437"/>
      </w:tblGrid>
      <w:tr w14:paraId="25491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388" w:type="pct"/>
            <w:tcBorders>
              <w:top w:val="single" w:color="000000" w:sz="4" w:space="0"/>
              <w:left w:val="single" w:color="000000" w:sz="4" w:space="0"/>
              <w:bottom w:val="single" w:color="000000" w:sz="4" w:space="0"/>
              <w:right w:val="single" w:color="000000" w:sz="4" w:space="0"/>
            </w:tcBorders>
            <w:noWrap/>
            <w:vAlign w:val="center"/>
          </w:tcPr>
          <w:p w14:paraId="08FF8376">
            <w:pPr>
              <w:keepNext w:val="0"/>
              <w:keepLines w:val="0"/>
              <w:widowControl/>
              <w:suppressLineNumbers w:val="0"/>
              <w:jc w:val="center"/>
              <w:textAlignment w:val="center"/>
              <w:rPr>
                <w:rFonts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项目名称</w:t>
            </w:r>
          </w:p>
        </w:tc>
        <w:tc>
          <w:tcPr>
            <w:tcW w:w="400" w:type="pct"/>
            <w:tcBorders>
              <w:top w:val="single" w:color="000000" w:sz="4" w:space="0"/>
              <w:left w:val="single" w:color="000000" w:sz="4" w:space="0"/>
              <w:bottom w:val="single" w:color="000000" w:sz="4" w:space="0"/>
              <w:right w:val="single" w:color="000000" w:sz="4" w:space="0"/>
            </w:tcBorders>
            <w:noWrap/>
            <w:vAlign w:val="center"/>
          </w:tcPr>
          <w:p w14:paraId="7F06CFCD">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培训时间</w:t>
            </w:r>
          </w:p>
        </w:tc>
        <w:tc>
          <w:tcPr>
            <w:tcW w:w="1682" w:type="pct"/>
            <w:tcBorders>
              <w:top w:val="single" w:color="000000" w:sz="4" w:space="0"/>
              <w:left w:val="single" w:color="000000" w:sz="4" w:space="0"/>
              <w:bottom w:val="single" w:color="000000" w:sz="4" w:space="0"/>
              <w:right w:val="single" w:color="000000" w:sz="4" w:space="0"/>
            </w:tcBorders>
            <w:noWrap w:val="0"/>
            <w:vAlign w:val="center"/>
          </w:tcPr>
          <w:p w14:paraId="666791DF">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培训内容</w:t>
            </w:r>
          </w:p>
        </w:tc>
        <w:tc>
          <w:tcPr>
            <w:tcW w:w="1768" w:type="pct"/>
            <w:tcBorders>
              <w:top w:val="single" w:color="000000" w:sz="4" w:space="0"/>
              <w:left w:val="single" w:color="000000" w:sz="4" w:space="0"/>
              <w:bottom w:val="single" w:color="000000" w:sz="4" w:space="0"/>
              <w:right w:val="single" w:color="000000" w:sz="4" w:space="0"/>
            </w:tcBorders>
            <w:noWrap w:val="0"/>
            <w:vAlign w:val="center"/>
          </w:tcPr>
          <w:p w14:paraId="20FC421A">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项目费用</w:t>
            </w:r>
          </w:p>
        </w:tc>
        <w:tc>
          <w:tcPr>
            <w:tcW w:w="489" w:type="pct"/>
            <w:tcBorders>
              <w:top w:val="single" w:color="000000" w:sz="4" w:space="0"/>
              <w:left w:val="single" w:color="000000" w:sz="4" w:space="0"/>
              <w:bottom w:val="single" w:color="000000" w:sz="4" w:space="0"/>
              <w:right w:val="single" w:color="000000" w:sz="4" w:space="0"/>
            </w:tcBorders>
            <w:noWrap w:val="0"/>
            <w:vAlign w:val="center"/>
          </w:tcPr>
          <w:p w14:paraId="4CADAAA6">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金额（元）</w:t>
            </w:r>
          </w:p>
        </w:tc>
        <w:tc>
          <w:tcPr>
            <w:tcW w:w="270" w:type="pct"/>
            <w:tcBorders>
              <w:top w:val="single" w:color="000000" w:sz="4" w:space="0"/>
              <w:left w:val="single" w:color="000000" w:sz="4" w:space="0"/>
              <w:bottom w:val="single" w:color="000000" w:sz="4" w:space="0"/>
              <w:right w:val="single" w:color="000000" w:sz="4" w:space="0"/>
            </w:tcBorders>
            <w:noWrap w:val="0"/>
            <w:vAlign w:val="center"/>
          </w:tcPr>
          <w:p w14:paraId="1BE8BAB9">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备注</w:t>
            </w:r>
          </w:p>
        </w:tc>
      </w:tr>
      <w:tr w14:paraId="3F21F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388" w:type="pct"/>
            <w:vMerge w:val="restart"/>
            <w:tcBorders>
              <w:top w:val="single" w:color="000000" w:sz="4" w:space="0"/>
              <w:left w:val="single" w:color="000000" w:sz="4" w:space="0"/>
              <w:bottom w:val="single" w:color="000000" w:sz="4" w:space="0"/>
              <w:right w:val="single" w:color="000000" w:sz="4" w:space="0"/>
            </w:tcBorders>
            <w:noWrap w:val="0"/>
            <w:vAlign w:val="center"/>
          </w:tcPr>
          <w:p w14:paraId="6D7C6756">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培</w:t>
            </w:r>
            <w:r>
              <w:rPr>
                <w:rFonts w:hint="eastAsia" w:ascii="仿宋" w:hAnsi="仿宋" w:eastAsia="仿宋" w:cs="仿宋"/>
                <w:b/>
                <w:bCs/>
                <w:i w:val="0"/>
                <w:iCs w:val="0"/>
                <w:color w:val="000000"/>
                <w:kern w:val="0"/>
                <w:sz w:val="24"/>
                <w:szCs w:val="24"/>
                <w:u w:val="none"/>
                <w:lang w:val="en-US" w:eastAsia="zh-CN" w:bidi="ar"/>
              </w:rPr>
              <w:br w:type="textWrapping"/>
            </w:r>
            <w:r>
              <w:rPr>
                <w:rFonts w:hint="eastAsia" w:ascii="仿宋" w:hAnsi="仿宋" w:eastAsia="仿宋" w:cs="仿宋"/>
                <w:b/>
                <w:bCs/>
                <w:i w:val="0"/>
                <w:iCs w:val="0"/>
                <w:color w:val="000000"/>
                <w:kern w:val="0"/>
                <w:sz w:val="24"/>
                <w:szCs w:val="24"/>
                <w:u w:val="none"/>
                <w:lang w:val="en-US" w:eastAsia="zh-CN" w:bidi="ar"/>
              </w:rPr>
              <w:t>训</w:t>
            </w:r>
            <w:r>
              <w:rPr>
                <w:rFonts w:hint="eastAsia" w:ascii="仿宋" w:hAnsi="仿宋" w:eastAsia="仿宋" w:cs="仿宋"/>
                <w:b/>
                <w:bCs/>
                <w:i w:val="0"/>
                <w:iCs w:val="0"/>
                <w:color w:val="000000"/>
                <w:kern w:val="0"/>
                <w:sz w:val="24"/>
                <w:szCs w:val="24"/>
                <w:u w:val="none"/>
                <w:lang w:val="en-US" w:eastAsia="zh-CN" w:bidi="ar"/>
              </w:rPr>
              <w:br w:type="textWrapping"/>
            </w:r>
            <w:r>
              <w:rPr>
                <w:rFonts w:hint="eastAsia" w:ascii="仿宋" w:hAnsi="仿宋" w:eastAsia="仿宋" w:cs="仿宋"/>
                <w:b/>
                <w:bCs/>
                <w:i w:val="0"/>
                <w:iCs w:val="0"/>
                <w:color w:val="000000"/>
                <w:kern w:val="0"/>
                <w:sz w:val="24"/>
                <w:szCs w:val="24"/>
                <w:u w:val="none"/>
                <w:lang w:val="en-US" w:eastAsia="zh-CN" w:bidi="ar"/>
              </w:rPr>
              <w:t>及</w:t>
            </w:r>
            <w:r>
              <w:rPr>
                <w:rFonts w:hint="eastAsia" w:ascii="仿宋" w:hAnsi="仿宋" w:eastAsia="仿宋" w:cs="仿宋"/>
                <w:b/>
                <w:bCs/>
                <w:i w:val="0"/>
                <w:iCs w:val="0"/>
                <w:color w:val="000000"/>
                <w:kern w:val="0"/>
                <w:sz w:val="24"/>
                <w:szCs w:val="24"/>
                <w:u w:val="none"/>
                <w:lang w:val="en-US" w:eastAsia="zh-CN" w:bidi="ar"/>
              </w:rPr>
              <w:br w:type="textWrapping"/>
            </w:r>
            <w:r>
              <w:rPr>
                <w:rFonts w:hint="eastAsia" w:ascii="仿宋" w:hAnsi="仿宋" w:eastAsia="仿宋" w:cs="仿宋"/>
                <w:b/>
                <w:bCs/>
                <w:i w:val="0"/>
                <w:iCs w:val="0"/>
                <w:color w:val="000000"/>
                <w:kern w:val="0"/>
                <w:sz w:val="24"/>
                <w:szCs w:val="24"/>
                <w:u w:val="none"/>
                <w:lang w:val="en-US" w:eastAsia="zh-CN" w:bidi="ar"/>
              </w:rPr>
              <w:t>活</w:t>
            </w:r>
            <w:r>
              <w:rPr>
                <w:rFonts w:hint="eastAsia" w:ascii="仿宋" w:hAnsi="仿宋" w:eastAsia="仿宋" w:cs="仿宋"/>
                <w:b/>
                <w:bCs/>
                <w:i w:val="0"/>
                <w:iCs w:val="0"/>
                <w:color w:val="000000"/>
                <w:kern w:val="0"/>
                <w:sz w:val="24"/>
                <w:szCs w:val="24"/>
                <w:u w:val="none"/>
                <w:lang w:val="en-US" w:eastAsia="zh-CN" w:bidi="ar"/>
              </w:rPr>
              <w:br w:type="textWrapping"/>
            </w:r>
            <w:r>
              <w:rPr>
                <w:rFonts w:hint="eastAsia" w:ascii="仿宋" w:hAnsi="仿宋" w:eastAsia="仿宋" w:cs="仿宋"/>
                <w:b/>
                <w:bCs/>
                <w:i w:val="0"/>
                <w:iCs w:val="0"/>
                <w:color w:val="000000"/>
                <w:kern w:val="0"/>
                <w:sz w:val="24"/>
                <w:szCs w:val="24"/>
                <w:u w:val="none"/>
                <w:lang w:val="en-US" w:eastAsia="zh-CN" w:bidi="ar"/>
              </w:rPr>
              <w:t>动</w:t>
            </w:r>
          </w:p>
        </w:tc>
        <w:tc>
          <w:tcPr>
            <w:tcW w:w="400" w:type="pct"/>
            <w:vMerge w:val="restart"/>
            <w:tcBorders>
              <w:top w:val="single" w:color="000000" w:sz="4" w:space="0"/>
              <w:left w:val="single" w:color="000000" w:sz="4" w:space="0"/>
              <w:bottom w:val="single" w:color="000000" w:sz="4" w:space="0"/>
              <w:right w:val="single" w:color="000000" w:sz="4" w:space="0"/>
            </w:tcBorders>
            <w:noWrap/>
            <w:vAlign w:val="center"/>
          </w:tcPr>
          <w:p w14:paraId="57311E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第一季度</w:t>
            </w:r>
          </w:p>
        </w:tc>
        <w:tc>
          <w:tcPr>
            <w:tcW w:w="1682" w:type="pct"/>
            <w:tcBorders>
              <w:top w:val="single" w:color="000000" w:sz="4" w:space="0"/>
              <w:left w:val="single" w:color="000000" w:sz="4" w:space="0"/>
              <w:bottom w:val="single" w:color="000000" w:sz="4" w:space="0"/>
              <w:right w:val="single" w:color="000000" w:sz="4" w:space="0"/>
            </w:tcBorders>
            <w:noWrap w:val="0"/>
            <w:vAlign w:val="center"/>
          </w:tcPr>
          <w:p w14:paraId="054EC9C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第一场：燃气安全管理知识;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第二场：消防安全知识培训(1-3月份）</w:t>
            </w:r>
          </w:p>
        </w:tc>
        <w:tc>
          <w:tcPr>
            <w:tcW w:w="1768" w:type="pct"/>
            <w:vMerge w:val="restart"/>
            <w:tcBorders>
              <w:top w:val="single" w:color="000000" w:sz="4" w:space="0"/>
              <w:left w:val="single" w:color="000000" w:sz="4" w:space="0"/>
              <w:bottom w:val="single" w:color="000000" w:sz="4" w:space="0"/>
              <w:right w:val="single" w:color="000000" w:sz="4" w:space="0"/>
            </w:tcBorders>
            <w:noWrap w:val="0"/>
            <w:vAlign w:val="top"/>
          </w:tcPr>
          <w:p w14:paraId="3BAE2769">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餐费：学员：100人*50元*4场；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      工作人员：5人*50元*4场；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资料费：100人*30元*4场；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场地费：10000元*4场；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工作人员费用：5人*300元*4场；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师资费：1000元*8学时*4场；</w:t>
            </w:r>
          </w:p>
        </w:tc>
        <w:tc>
          <w:tcPr>
            <w:tcW w:w="489" w:type="pct"/>
            <w:vMerge w:val="restart"/>
            <w:tcBorders>
              <w:top w:val="single" w:color="000000" w:sz="4" w:space="0"/>
              <w:left w:val="single" w:color="000000" w:sz="4" w:space="0"/>
              <w:bottom w:val="single" w:color="000000" w:sz="4" w:space="0"/>
              <w:right w:val="single" w:color="000000" w:sz="4" w:space="0"/>
            </w:tcBorders>
            <w:noWrap w:val="0"/>
            <w:vAlign w:val="center"/>
          </w:tcPr>
          <w:p w14:paraId="2DAEE7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111000</w:t>
            </w:r>
          </w:p>
        </w:tc>
        <w:tc>
          <w:tcPr>
            <w:tcW w:w="270" w:type="pct"/>
            <w:vMerge w:val="restart"/>
            <w:tcBorders>
              <w:top w:val="single" w:color="000000" w:sz="4" w:space="0"/>
              <w:left w:val="single" w:color="000000" w:sz="4" w:space="0"/>
              <w:bottom w:val="single" w:color="000000" w:sz="4" w:space="0"/>
              <w:right w:val="single" w:color="000000" w:sz="4" w:space="0"/>
            </w:tcBorders>
            <w:noWrap/>
            <w:vAlign w:val="center"/>
          </w:tcPr>
          <w:p w14:paraId="45ECF15F">
            <w:pPr>
              <w:jc w:val="left"/>
              <w:rPr>
                <w:rFonts w:hint="eastAsia" w:ascii="仿宋" w:hAnsi="仿宋" w:eastAsia="仿宋" w:cs="仿宋"/>
                <w:i w:val="0"/>
                <w:iCs w:val="0"/>
                <w:color w:val="000000"/>
                <w:sz w:val="22"/>
                <w:szCs w:val="22"/>
                <w:u w:val="none"/>
              </w:rPr>
            </w:pPr>
          </w:p>
        </w:tc>
      </w:tr>
      <w:tr w14:paraId="336F2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3874F313">
            <w:pPr>
              <w:jc w:val="center"/>
              <w:rPr>
                <w:rFonts w:hint="eastAsia" w:ascii="仿宋" w:hAnsi="仿宋" w:eastAsia="仿宋" w:cs="仿宋"/>
                <w:b/>
                <w:bCs/>
                <w:i w:val="0"/>
                <w:iCs w:val="0"/>
                <w:color w:val="000000"/>
                <w:sz w:val="24"/>
                <w:szCs w:val="24"/>
                <w:u w:val="none"/>
              </w:rPr>
            </w:pPr>
          </w:p>
        </w:tc>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7322E81C">
            <w:pPr>
              <w:jc w:val="center"/>
              <w:rPr>
                <w:rFonts w:hint="eastAsia" w:ascii="仿宋" w:hAnsi="仿宋" w:eastAsia="仿宋" w:cs="仿宋"/>
                <w:i w:val="0"/>
                <w:iCs w:val="0"/>
                <w:color w:val="000000"/>
                <w:sz w:val="22"/>
                <w:szCs w:val="22"/>
                <w:u w:val="none"/>
              </w:rPr>
            </w:pPr>
          </w:p>
        </w:tc>
        <w:tc>
          <w:tcPr>
            <w:tcW w:w="1682" w:type="pct"/>
            <w:tcBorders>
              <w:top w:val="single" w:color="000000" w:sz="4" w:space="0"/>
              <w:left w:val="single" w:color="000000" w:sz="4" w:space="0"/>
              <w:bottom w:val="single" w:color="000000" w:sz="4" w:space="0"/>
              <w:right w:val="single" w:color="000000" w:sz="4" w:space="0"/>
            </w:tcBorders>
            <w:noWrap w:val="0"/>
            <w:vAlign w:val="center"/>
          </w:tcPr>
          <w:p w14:paraId="3F5D145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第三场：电动车安全规范知识培训、充电桩安全使用常识培训;</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第四场：群居房（出租房）安全管理知识培训、安全生产教育培训(1-3月份）</w:t>
            </w:r>
          </w:p>
        </w:tc>
        <w:tc>
          <w:tcPr>
            <w:tcW w:w="1768" w:type="pct"/>
            <w:vMerge w:val="continue"/>
            <w:tcBorders>
              <w:top w:val="single" w:color="000000" w:sz="4" w:space="0"/>
              <w:left w:val="single" w:color="000000" w:sz="4" w:space="0"/>
              <w:bottom w:val="single" w:color="000000" w:sz="4" w:space="0"/>
              <w:right w:val="single" w:color="000000" w:sz="4" w:space="0"/>
            </w:tcBorders>
            <w:noWrap w:val="0"/>
            <w:vAlign w:val="top"/>
          </w:tcPr>
          <w:p w14:paraId="679C1DA2">
            <w:pPr>
              <w:jc w:val="left"/>
              <w:rPr>
                <w:rFonts w:hint="eastAsia" w:ascii="仿宋" w:hAnsi="仿宋" w:eastAsia="仿宋" w:cs="仿宋"/>
                <w:i w:val="0"/>
                <w:iCs w:val="0"/>
                <w:color w:val="000000"/>
                <w:sz w:val="22"/>
                <w:szCs w:val="22"/>
                <w:u w:val="none"/>
              </w:rPr>
            </w:pPr>
          </w:p>
        </w:tc>
        <w:tc>
          <w:tcPr>
            <w:tcW w:w="489" w:type="pct"/>
            <w:vMerge w:val="continue"/>
            <w:tcBorders>
              <w:top w:val="single" w:color="000000" w:sz="4" w:space="0"/>
              <w:left w:val="single" w:color="000000" w:sz="4" w:space="0"/>
              <w:bottom w:val="single" w:color="000000" w:sz="4" w:space="0"/>
              <w:right w:val="single" w:color="000000" w:sz="4" w:space="0"/>
            </w:tcBorders>
            <w:noWrap w:val="0"/>
            <w:vAlign w:val="center"/>
          </w:tcPr>
          <w:p w14:paraId="04EE0452">
            <w:pPr>
              <w:jc w:val="center"/>
              <w:rPr>
                <w:rFonts w:hint="eastAsia" w:ascii="仿宋" w:hAnsi="仿宋" w:eastAsia="仿宋" w:cs="仿宋"/>
                <w:i w:val="0"/>
                <w:iCs w:val="0"/>
                <w:color w:val="000000"/>
                <w:sz w:val="22"/>
                <w:szCs w:val="22"/>
                <w:u w:val="none"/>
              </w:rPr>
            </w:pPr>
          </w:p>
        </w:tc>
        <w:tc>
          <w:tcPr>
            <w:tcW w:w="270" w:type="pct"/>
            <w:vMerge w:val="continue"/>
            <w:tcBorders>
              <w:top w:val="single" w:color="000000" w:sz="4" w:space="0"/>
              <w:left w:val="single" w:color="000000" w:sz="4" w:space="0"/>
              <w:bottom w:val="single" w:color="000000" w:sz="4" w:space="0"/>
              <w:right w:val="single" w:color="000000" w:sz="4" w:space="0"/>
            </w:tcBorders>
            <w:noWrap/>
            <w:vAlign w:val="center"/>
          </w:tcPr>
          <w:p w14:paraId="0179CD7D">
            <w:pPr>
              <w:jc w:val="left"/>
              <w:rPr>
                <w:rFonts w:hint="eastAsia" w:ascii="仿宋" w:hAnsi="仿宋" w:eastAsia="仿宋" w:cs="仿宋"/>
                <w:i w:val="0"/>
                <w:iCs w:val="0"/>
                <w:color w:val="000000"/>
                <w:sz w:val="22"/>
                <w:szCs w:val="22"/>
                <w:u w:val="none"/>
              </w:rPr>
            </w:pPr>
          </w:p>
        </w:tc>
      </w:tr>
      <w:tr w14:paraId="2CB17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1" w:hRule="atLeast"/>
        </w:trPr>
        <w:tc>
          <w:tcPr>
            <w:tcW w:w="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01718C01">
            <w:pPr>
              <w:jc w:val="center"/>
              <w:rPr>
                <w:rFonts w:hint="eastAsia" w:ascii="仿宋" w:hAnsi="仿宋" w:eastAsia="仿宋" w:cs="仿宋"/>
                <w:b/>
                <w:bCs/>
                <w:i w:val="0"/>
                <w:iCs w:val="0"/>
                <w:color w:val="000000"/>
                <w:sz w:val="24"/>
                <w:szCs w:val="24"/>
                <w:u w:val="none"/>
              </w:rPr>
            </w:pPr>
          </w:p>
        </w:tc>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54D0796E">
            <w:pPr>
              <w:jc w:val="center"/>
              <w:rPr>
                <w:rFonts w:hint="eastAsia" w:ascii="仿宋" w:hAnsi="仿宋" w:eastAsia="仿宋" w:cs="仿宋"/>
                <w:i w:val="0"/>
                <w:iCs w:val="0"/>
                <w:color w:val="000000"/>
                <w:sz w:val="22"/>
                <w:szCs w:val="22"/>
                <w:u w:val="none"/>
              </w:rPr>
            </w:pPr>
          </w:p>
        </w:tc>
        <w:tc>
          <w:tcPr>
            <w:tcW w:w="1682" w:type="pct"/>
            <w:tcBorders>
              <w:top w:val="single" w:color="000000" w:sz="4" w:space="0"/>
              <w:left w:val="single" w:color="000000" w:sz="4" w:space="0"/>
              <w:bottom w:val="single" w:color="000000" w:sz="4" w:space="0"/>
              <w:right w:val="single" w:color="000000" w:sz="4" w:space="0"/>
            </w:tcBorders>
            <w:noWrap w:val="0"/>
            <w:vAlign w:val="center"/>
          </w:tcPr>
          <w:p w14:paraId="57FE298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活动一：以讲解电池的危害开展进农村培训活动；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活动二：消防逃生演练及灭火器的使用规范流程（3月份）</w:t>
            </w:r>
          </w:p>
        </w:tc>
        <w:tc>
          <w:tcPr>
            <w:tcW w:w="1768" w:type="pct"/>
            <w:tcBorders>
              <w:top w:val="single" w:color="000000" w:sz="4" w:space="0"/>
              <w:left w:val="single" w:color="000000" w:sz="4" w:space="0"/>
              <w:bottom w:val="single" w:color="000000" w:sz="4" w:space="0"/>
              <w:right w:val="single" w:color="000000" w:sz="4" w:space="0"/>
            </w:tcBorders>
            <w:noWrap w:val="0"/>
            <w:vAlign w:val="center"/>
          </w:tcPr>
          <w:p w14:paraId="1CA8537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工作人员费用：8人*300元*2场；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师资费：1000元*8学时*2场；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设备租赁费（消防设备、灭火器材、投影仪、音箱、灭火器（水基灭火器和干粉灭火器）、医疗急救箱、消防应急箱、防毒面罩、电动车电池、逃生演练用具）：10000元*2场；</w:t>
            </w:r>
          </w:p>
        </w:tc>
        <w:tc>
          <w:tcPr>
            <w:tcW w:w="489" w:type="pct"/>
            <w:tcBorders>
              <w:top w:val="single" w:color="000000" w:sz="4" w:space="0"/>
              <w:left w:val="single" w:color="000000" w:sz="4" w:space="0"/>
              <w:bottom w:val="single" w:color="000000" w:sz="4" w:space="0"/>
              <w:right w:val="single" w:color="000000" w:sz="4" w:space="0"/>
            </w:tcBorders>
            <w:noWrap w:val="0"/>
            <w:vAlign w:val="center"/>
          </w:tcPr>
          <w:p w14:paraId="05D112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40800</w:t>
            </w:r>
          </w:p>
        </w:tc>
        <w:tc>
          <w:tcPr>
            <w:tcW w:w="270" w:type="pct"/>
            <w:vMerge w:val="continue"/>
            <w:tcBorders>
              <w:top w:val="single" w:color="000000" w:sz="4" w:space="0"/>
              <w:left w:val="single" w:color="000000" w:sz="4" w:space="0"/>
              <w:bottom w:val="single" w:color="000000" w:sz="4" w:space="0"/>
              <w:right w:val="single" w:color="000000" w:sz="4" w:space="0"/>
            </w:tcBorders>
            <w:noWrap/>
            <w:vAlign w:val="center"/>
          </w:tcPr>
          <w:p w14:paraId="2C818D31">
            <w:pPr>
              <w:jc w:val="left"/>
              <w:rPr>
                <w:rFonts w:hint="eastAsia" w:ascii="仿宋" w:hAnsi="仿宋" w:eastAsia="仿宋" w:cs="仿宋"/>
                <w:i w:val="0"/>
                <w:iCs w:val="0"/>
                <w:color w:val="000000"/>
                <w:sz w:val="22"/>
                <w:szCs w:val="22"/>
                <w:u w:val="none"/>
              </w:rPr>
            </w:pPr>
          </w:p>
        </w:tc>
      </w:tr>
      <w:tr w14:paraId="5AB46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0394736D">
            <w:pPr>
              <w:jc w:val="center"/>
              <w:rPr>
                <w:rFonts w:hint="eastAsia" w:ascii="仿宋" w:hAnsi="仿宋" w:eastAsia="仿宋" w:cs="仿宋"/>
                <w:b/>
                <w:bCs/>
                <w:i w:val="0"/>
                <w:iCs w:val="0"/>
                <w:color w:val="000000"/>
                <w:sz w:val="24"/>
                <w:szCs w:val="24"/>
                <w:u w:val="none"/>
              </w:rPr>
            </w:pPr>
          </w:p>
        </w:tc>
        <w:tc>
          <w:tcPr>
            <w:tcW w:w="400" w:type="pct"/>
            <w:vMerge w:val="restart"/>
            <w:tcBorders>
              <w:top w:val="single" w:color="000000" w:sz="4" w:space="0"/>
              <w:left w:val="single" w:color="000000" w:sz="4" w:space="0"/>
              <w:bottom w:val="single" w:color="000000" w:sz="4" w:space="0"/>
              <w:right w:val="single" w:color="000000" w:sz="4" w:space="0"/>
            </w:tcBorders>
            <w:noWrap/>
            <w:vAlign w:val="center"/>
          </w:tcPr>
          <w:p w14:paraId="6439CC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第二季度</w:t>
            </w:r>
          </w:p>
        </w:tc>
        <w:tc>
          <w:tcPr>
            <w:tcW w:w="1682" w:type="pct"/>
            <w:tcBorders>
              <w:top w:val="single" w:color="000000" w:sz="4" w:space="0"/>
              <w:left w:val="single" w:color="000000" w:sz="4" w:space="0"/>
              <w:bottom w:val="single" w:color="000000" w:sz="4" w:space="0"/>
              <w:right w:val="single" w:color="000000" w:sz="4" w:space="0"/>
            </w:tcBorders>
            <w:noWrap w:val="0"/>
            <w:vAlign w:val="center"/>
          </w:tcPr>
          <w:p w14:paraId="0793A1D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第一场：《北京市生产安全事故隐患排查治理办法》（北京市政府266号）、《《中华人民共和国安全生产法》及《北京市安全生产条例》培训；</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第二场：电动车和消防安全检查要点（4-6月份）</w:t>
            </w:r>
          </w:p>
        </w:tc>
        <w:tc>
          <w:tcPr>
            <w:tcW w:w="1768" w:type="pct"/>
            <w:vMerge w:val="restart"/>
            <w:tcBorders>
              <w:top w:val="single" w:color="000000" w:sz="4" w:space="0"/>
              <w:left w:val="single" w:color="000000" w:sz="4" w:space="0"/>
              <w:bottom w:val="single" w:color="000000" w:sz="4" w:space="0"/>
              <w:right w:val="single" w:color="000000" w:sz="4" w:space="0"/>
            </w:tcBorders>
            <w:noWrap w:val="0"/>
            <w:vAlign w:val="top"/>
          </w:tcPr>
          <w:p w14:paraId="04ABCFDF">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餐费：学员：100人*50元*4场；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      工作人员：5人*50元*4场；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资料费：100人*30元*4场；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场地费：10000元*4场；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工作人员费用：5人*300元*4场；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师资费：1000元*8学时*4场；</w:t>
            </w:r>
          </w:p>
        </w:tc>
        <w:tc>
          <w:tcPr>
            <w:tcW w:w="489" w:type="pct"/>
            <w:vMerge w:val="restart"/>
            <w:tcBorders>
              <w:top w:val="single" w:color="000000" w:sz="4" w:space="0"/>
              <w:left w:val="single" w:color="000000" w:sz="4" w:space="0"/>
              <w:bottom w:val="single" w:color="000000" w:sz="4" w:space="0"/>
              <w:right w:val="single" w:color="000000" w:sz="4" w:space="0"/>
            </w:tcBorders>
            <w:noWrap w:val="0"/>
            <w:vAlign w:val="center"/>
          </w:tcPr>
          <w:p w14:paraId="22A89E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111000</w:t>
            </w:r>
          </w:p>
        </w:tc>
        <w:tc>
          <w:tcPr>
            <w:tcW w:w="270" w:type="pct"/>
            <w:vMerge w:val="restart"/>
            <w:tcBorders>
              <w:top w:val="single" w:color="000000" w:sz="4" w:space="0"/>
              <w:left w:val="single" w:color="000000" w:sz="4" w:space="0"/>
              <w:bottom w:val="single" w:color="000000" w:sz="4" w:space="0"/>
              <w:right w:val="single" w:color="000000" w:sz="4" w:space="0"/>
            </w:tcBorders>
            <w:noWrap/>
            <w:vAlign w:val="center"/>
          </w:tcPr>
          <w:p w14:paraId="1D3C2A3C">
            <w:pPr>
              <w:jc w:val="left"/>
              <w:rPr>
                <w:rFonts w:hint="eastAsia" w:ascii="仿宋" w:hAnsi="仿宋" w:eastAsia="仿宋" w:cs="仿宋"/>
                <w:i w:val="0"/>
                <w:iCs w:val="0"/>
                <w:color w:val="000000"/>
                <w:sz w:val="22"/>
                <w:szCs w:val="22"/>
                <w:u w:val="none"/>
              </w:rPr>
            </w:pPr>
          </w:p>
        </w:tc>
      </w:tr>
      <w:tr w14:paraId="3A1FD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48C47A04">
            <w:pPr>
              <w:jc w:val="center"/>
              <w:rPr>
                <w:rFonts w:hint="eastAsia" w:ascii="仿宋" w:hAnsi="仿宋" w:eastAsia="仿宋" w:cs="仿宋"/>
                <w:b/>
                <w:bCs/>
                <w:i w:val="0"/>
                <w:iCs w:val="0"/>
                <w:color w:val="000000"/>
                <w:sz w:val="24"/>
                <w:szCs w:val="24"/>
                <w:u w:val="none"/>
              </w:rPr>
            </w:pPr>
          </w:p>
        </w:tc>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35018D18">
            <w:pPr>
              <w:jc w:val="center"/>
              <w:rPr>
                <w:rFonts w:hint="eastAsia" w:ascii="仿宋" w:hAnsi="仿宋" w:eastAsia="仿宋" w:cs="仿宋"/>
                <w:i w:val="0"/>
                <w:iCs w:val="0"/>
                <w:color w:val="000000"/>
                <w:sz w:val="22"/>
                <w:szCs w:val="22"/>
                <w:u w:val="none"/>
              </w:rPr>
            </w:pPr>
          </w:p>
        </w:tc>
        <w:tc>
          <w:tcPr>
            <w:tcW w:w="1682" w:type="pct"/>
            <w:tcBorders>
              <w:top w:val="single" w:color="000000" w:sz="4" w:space="0"/>
              <w:left w:val="single" w:color="000000" w:sz="4" w:space="0"/>
              <w:bottom w:val="single" w:color="000000" w:sz="4" w:space="0"/>
              <w:right w:val="single" w:color="000000" w:sz="4" w:space="0"/>
            </w:tcBorders>
            <w:noWrap w:val="0"/>
            <w:vAlign w:val="center"/>
          </w:tcPr>
          <w:p w14:paraId="72A2104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第三场：有限空间安全管理、动火作业安全知识培训；</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第四场：危险化学品管理、.建筑施工危险作业安全知识培训、事故案例分析+视频讲解（4-6月份）</w:t>
            </w:r>
          </w:p>
        </w:tc>
        <w:tc>
          <w:tcPr>
            <w:tcW w:w="1768" w:type="pct"/>
            <w:vMerge w:val="continue"/>
            <w:tcBorders>
              <w:top w:val="single" w:color="000000" w:sz="4" w:space="0"/>
              <w:left w:val="single" w:color="000000" w:sz="4" w:space="0"/>
              <w:bottom w:val="single" w:color="000000" w:sz="4" w:space="0"/>
              <w:right w:val="single" w:color="000000" w:sz="4" w:space="0"/>
            </w:tcBorders>
            <w:noWrap w:val="0"/>
            <w:vAlign w:val="top"/>
          </w:tcPr>
          <w:p w14:paraId="4D7B7CF4">
            <w:pPr>
              <w:jc w:val="left"/>
              <w:rPr>
                <w:rFonts w:hint="eastAsia" w:ascii="仿宋" w:hAnsi="仿宋" w:eastAsia="仿宋" w:cs="仿宋"/>
                <w:i w:val="0"/>
                <w:iCs w:val="0"/>
                <w:color w:val="000000"/>
                <w:sz w:val="22"/>
                <w:szCs w:val="22"/>
                <w:u w:val="none"/>
              </w:rPr>
            </w:pPr>
          </w:p>
        </w:tc>
        <w:tc>
          <w:tcPr>
            <w:tcW w:w="489" w:type="pct"/>
            <w:vMerge w:val="continue"/>
            <w:tcBorders>
              <w:top w:val="single" w:color="000000" w:sz="4" w:space="0"/>
              <w:left w:val="single" w:color="000000" w:sz="4" w:space="0"/>
              <w:bottom w:val="single" w:color="000000" w:sz="4" w:space="0"/>
              <w:right w:val="single" w:color="000000" w:sz="4" w:space="0"/>
            </w:tcBorders>
            <w:noWrap w:val="0"/>
            <w:vAlign w:val="center"/>
          </w:tcPr>
          <w:p w14:paraId="2ED54008">
            <w:pPr>
              <w:jc w:val="center"/>
              <w:rPr>
                <w:rFonts w:hint="eastAsia" w:ascii="仿宋" w:hAnsi="仿宋" w:eastAsia="仿宋" w:cs="仿宋"/>
                <w:i w:val="0"/>
                <w:iCs w:val="0"/>
                <w:color w:val="000000"/>
                <w:sz w:val="22"/>
                <w:szCs w:val="22"/>
                <w:u w:val="none"/>
              </w:rPr>
            </w:pPr>
          </w:p>
        </w:tc>
        <w:tc>
          <w:tcPr>
            <w:tcW w:w="270" w:type="pct"/>
            <w:vMerge w:val="continue"/>
            <w:tcBorders>
              <w:top w:val="single" w:color="000000" w:sz="4" w:space="0"/>
              <w:left w:val="single" w:color="000000" w:sz="4" w:space="0"/>
              <w:bottom w:val="single" w:color="000000" w:sz="4" w:space="0"/>
              <w:right w:val="single" w:color="000000" w:sz="4" w:space="0"/>
            </w:tcBorders>
            <w:noWrap/>
            <w:vAlign w:val="center"/>
          </w:tcPr>
          <w:p w14:paraId="1E56953E">
            <w:pPr>
              <w:jc w:val="left"/>
              <w:rPr>
                <w:rFonts w:hint="eastAsia" w:ascii="仿宋" w:hAnsi="仿宋" w:eastAsia="仿宋" w:cs="仿宋"/>
                <w:i w:val="0"/>
                <w:iCs w:val="0"/>
                <w:color w:val="000000"/>
                <w:sz w:val="22"/>
                <w:szCs w:val="22"/>
                <w:u w:val="none"/>
              </w:rPr>
            </w:pPr>
          </w:p>
        </w:tc>
      </w:tr>
      <w:tr w14:paraId="545B8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0" w:hRule="atLeast"/>
        </w:trPr>
        <w:tc>
          <w:tcPr>
            <w:tcW w:w="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313969C6">
            <w:pPr>
              <w:jc w:val="center"/>
              <w:rPr>
                <w:rFonts w:hint="eastAsia" w:ascii="仿宋" w:hAnsi="仿宋" w:eastAsia="仿宋" w:cs="仿宋"/>
                <w:b/>
                <w:bCs/>
                <w:i w:val="0"/>
                <w:iCs w:val="0"/>
                <w:color w:val="000000"/>
                <w:sz w:val="24"/>
                <w:szCs w:val="24"/>
                <w:u w:val="none"/>
              </w:rPr>
            </w:pPr>
          </w:p>
        </w:tc>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6FEBFF10">
            <w:pPr>
              <w:jc w:val="center"/>
              <w:rPr>
                <w:rFonts w:hint="eastAsia" w:ascii="仿宋" w:hAnsi="仿宋" w:eastAsia="仿宋" w:cs="仿宋"/>
                <w:i w:val="0"/>
                <w:iCs w:val="0"/>
                <w:color w:val="000000"/>
                <w:sz w:val="22"/>
                <w:szCs w:val="22"/>
                <w:u w:val="none"/>
              </w:rPr>
            </w:pPr>
          </w:p>
        </w:tc>
        <w:tc>
          <w:tcPr>
            <w:tcW w:w="1682" w:type="pct"/>
            <w:tcBorders>
              <w:top w:val="single" w:color="000000" w:sz="4" w:space="0"/>
              <w:left w:val="single" w:color="000000" w:sz="4" w:space="0"/>
              <w:bottom w:val="single" w:color="000000" w:sz="4" w:space="0"/>
              <w:right w:val="single" w:color="000000" w:sz="4" w:space="0"/>
            </w:tcBorders>
            <w:noWrap w:val="0"/>
            <w:vAlign w:val="top"/>
          </w:tcPr>
          <w:p w14:paraId="465B802C">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活动一：通过宣讲应急安全知识培训以及现场事故案例分析讲解为企业开展进企业培训活动；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活动二：火灾的应对与逃生演练（6月份）</w:t>
            </w:r>
          </w:p>
        </w:tc>
        <w:tc>
          <w:tcPr>
            <w:tcW w:w="1768" w:type="pct"/>
            <w:tcBorders>
              <w:top w:val="single" w:color="000000" w:sz="4" w:space="0"/>
              <w:left w:val="single" w:color="000000" w:sz="4" w:space="0"/>
              <w:bottom w:val="single" w:color="000000" w:sz="4" w:space="0"/>
              <w:right w:val="single" w:color="000000" w:sz="4" w:space="0"/>
            </w:tcBorders>
            <w:noWrap w:val="0"/>
            <w:vAlign w:val="center"/>
          </w:tcPr>
          <w:p w14:paraId="13A6EB3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工作人员费用：8人*300元*2场；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师资费：1000元*8学时*2场；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设备租赁费（消防设备、灭火器材、投影仪、音箱、灭火器（水基灭火器和干粉灭火器）、医疗急救箱、消防应急箱、防毒面罩、逃生绳、自救式呼吸器、消防演习桶）：10000元*2场；</w:t>
            </w:r>
          </w:p>
        </w:tc>
        <w:tc>
          <w:tcPr>
            <w:tcW w:w="489" w:type="pct"/>
            <w:tcBorders>
              <w:top w:val="single" w:color="000000" w:sz="4" w:space="0"/>
              <w:left w:val="single" w:color="000000" w:sz="4" w:space="0"/>
              <w:bottom w:val="single" w:color="000000" w:sz="4" w:space="0"/>
              <w:right w:val="single" w:color="000000" w:sz="4" w:space="0"/>
            </w:tcBorders>
            <w:noWrap w:val="0"/>
            <w:vAlign w:val="center"/>
          </w:tcPr>
          <w:p w14:paraId="0769B10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40800</w:t>
            </w:r>
          </w:p>
        </w:tc>
        <w:tc>
          <w:tcPr>
            <w:tcW w:w="270" w:type="pct"/>
            <w:vMerge w:val="continue"/>
            <w:tcBorders>
              <w:top w:val="single" w:color="000000" w:sz="4" w:space="0"/>
              <w:left w:val="single" w:color="000000" w:sz="4" w:space="0"/>
              <w:bottom w:val="single" w:color="000000" w:sz="4" w:space="0"/>
              <w:right w:val="single" w:color="000000" w:sz="4" w:space="0"/>
            </w:tcBorders>
            <w:noWrap/>
            <w:vAlign w:val="center"/>
          </w:tcPr>
          <w:p w14:paraId="7A248298">
            <w:pPr>
              <w:jc w:val="left"/>
              <w:rPr>
                <w:rFonts w:hint="eastAsia" w:ascii="仿宋" w:hAnsi="仿宋" w:eastAsia="仿宋" w:cs="仿宋"/>
                <w:i w:val="0"/>
                <w:iCs w:val="0"/>
                <w:color w:val="000000"/>
                <w:sz w:val="22"/>
                <w:szCs w:val="22"/>
                <w:u w:val="none"/>
              </w:rPr>
            </w:pPr>
          </w:p>
        </w:tc>
      </w:tr>
      <w:tr w14:paraId="0E170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1F9CFF33">
            <w:pPr>
              <w:jc w:val="center"/>
              <w:rPr>
                <w:rFonts w:hint="eastAsia" w:ascii="仿宋" w:hAnsi="仿宋" w:eastAsia="仿宋" w:cs="仿宋"/>
                <w:b/>
                <w:bCs/>
                <w:i w:val="0"/>
                <w:iCs w:val="0"/>
                <w:color w:val="000000"/>
                <w:sz w:val="24"/>
                <w:szCs w:val="24"/>
                <w:u w:val="none"/>
              </w:rPr>
            </w:pPr>
          </w:p>
        </w:tc>
        <w:tc>
          <w:tcPr>
            <w:tcW w:w="400" w:type="pct"/>
            <w:vMerge w:val="restart"/>
            <w:tcBorders>
              <w:top w:val="single" w:color="000000" w:sz="4" w:space="0"/>
              <w:left w:val="single" w:color="000000" w:sz="4" w:space="0"/>
              <w:bottom w:val="single" w:color="000000" w:sz="4" w:space="0"/>
              <w:right w:val="single" w:color="000000" w:sz="4" w:space="0"/>
            </w:tcBorders>
            <w:noWrap/>
            <w:vAlign w:val="center"/>
          </w:tcPr>
          <w:p w14:paraId="7B7AAD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第三季度</w:t>
            </w:r>
          </w:p>
        </w:tc>
        <w:tc>
          <w:tcPr>
            <w:tcW w:w="1682" w:type="pct"/>
            <w:tcBorders>
              <w:top w:val="single" w:color="000000" w:sz="4" w:space="0"/>
              <w:left w:val="single" w:color="000000" w:sz="4" w:space="0"/>
              <w:bottom w:val="single" w:color="000000" w:sz="4" w:space="0"/>
              <w:right w:val="single" w:color="000000" w:sz="4" w:space="0"/>
            </w:tcBorders>
            <w:noWrap w:val="0"/>
            <w:vAlign w:val="top"/>
          </w:tcPr>
          <w:p w14:paraId="7FA4799B">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第一场：燃气安全管理知识、用电安全知识；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第二场：防汛、高温作业知识培训、电动车充电安全（7-9月份）</w:t>
            </w:r>
          </w:p>
        </w:tc>
        <w:tc>
          <w:tcPr>
            <w:tcW w:w="1768" w:type="pct"/>
            <w:vMerge w:val="restart"/>
            <w:tcBorders>
              <w:top w:val="single" w:color="000000" w:sz="4" w:space="0"/>
              <w:left w:val="single" w:color="000000" w:sz="4" w:space="0"/>
              <w:bottom w:val="single" w:color="000000" w:sz="4" w:space="0"/>
              <w:right w:val="single" w:color="000000" w:sz="4" w:space="0"/>
            </w:tcBorders>
            <w:noWrap w:val="0"/>
            <w:vAlign w:val="top"/>
          </w:tcPr>
          <w:p w14:paraId="4139FF41">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餐费：学员：100人*50元*4场；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      工作人员：5人*50元*4场；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资料费：100人*30元*4场；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场地费：10000元*4场；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工作人员费用：5人*300元*4场；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师资费：1000元*8学时*4场；</w:t>
            </w:r>
          </w:p>
        </w:tc>
        <w:tc>
          <w:tcPr>
            <w:tcW w:w="489" w:type="pct"/>
            <w:vMerge w:val="restart"/>
            <w:tcBorders>
              <w:top w:val="single" w:color="000000" w:sz="4" w:space="0"/>
              <w:left w:val="single" w:color="000000" w:sz="4" w:space="0"/>
              <w:bottom w:val="single" w:color="000000" w:sz="4" w:space="0"/>
              <w:right w:val="single" w:color="000000" w:sz="4" w:space="0"/>
            </w:tcBorders>
            <w:noWrap w:val="0"/>
            <w:vAlign w:val="center"/>
          </w:tcPr>
          <w:p w14:paraId="226C3E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111000</w:t>
            </w:r>
          </w:p>
        </w:tc>
        <w:tc>
          <w:tcPr>
            <w:tcW w:w="270" w:type="pct"/>
            <w:vMerge w:val="restart"/>
            <w:tcBorders>
              <w:top w:val="single" w:color="000000" w:sz="4" w:space="0"/>
              <w:left w:val="single" w:color="000000" w:sz="4" w:space="0"/>
              <w:bottom w:val="single" w:color="000000" w:sz="4" w:space="0"/>
              <w:right w:val="single" w:color="000000" w:sz="4" w:space="0"/>
            </w:tcBorders>
            <w:noWrap/>
            <w:vAlign w:val="center"/>
          </w:tcPr>
          <w:p w14:paraId="62B8BCD5">
            <w:pPr>
              <w:jc w:val="left"/>
              <w:rPr>
                <w:rFonts w:hint="eastAsia" w:ascii="仿宋" w:hAnsi="仿宋" w:eastAsia="仿宋" w:cs="仿宋"/>
                <w:i w:val="0"/>
                <w:iCs w:val="0"/>
                <w:color w:val="000000"/>
                <w:sz w:val="22"/>
                <w:szCs w:val="22"/>
                <w:u w:val="none"/>
              </w:rPr>
            </w:pPr>
          </w:p>
        </w:tc>
      </w:tr>
      <w:tr w14:paraId="4084B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692064A3">
            <w:pPr>
              <w:jc w:val="center"/>
              <w:rPr>
                <w:rFonts w:hint="eastAsia" w:ascii="仿宋" w:hAnsi="仿宋" w:eastAsia="仿宋" w:cs="仿宋"/>
                <w:b/>
                <w:bCs/>
                <w:i w:val="0"/>
                <w:iCs w:val="0"/>
                <w:color w:val="000000"/>
                <w:sz w:val="24"/>
                <w:szCs w:val="24"/>
                <w:u w:val="none"/>
              </w:rPr>
            </w:pPr>
          </w:p>
        </w:tc>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6C07050A">
            <w:pPr>
              <w:jc w:val="center"/>
              <w:rPr>
                <w:rFonts w:hint="eastAsia" w:ascii="仿宋" w:hAnsi="仿宋" w:eastAsia="仿宋" w:cs="仿宋"/>
                <w:i w:val="0"/>
                <w:iCs w:val="0"/>
                <w:color w:val="000000"/>
                <w:sz w:val="22"/>
                <w:szCs w:val="22"/>
                <w:u w:val="none"/>
              </w:rPr>
            </w:pPr>
          </w:p>
        </w:tc>
        <w:tc>
          <w:tcPr>
            <w:tcW w:w="1682" w:type="pct"/>
            <w:tcBorders>
              <w:top w:val="single" w:color="000000" w:sz="4" w:space="0"/>
              <w:left w:val="single" w:color="000000" w:sz="4" w:space="0"/>
              <w:bottom w:val="single" w:color="000000" w:sz="4" w:space="0"/>
              <w:right w:val="single" w:color="000000" w:sz="4" w:space="0"/>
            </w:tcBorders>
            <w:noWrap w:val="0"/>
            <w:vAlign w:val="top"/>
          </w:tcPr>
          <w:p w14:paraId="2DE239A3">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第三场：消防安全知识、职业卫生知识培训及职业卫生知识培训；</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第四场：火源辨识及预防、防火安全知识及火灾隐患治理知识培训（7-9月份）</w:t>
            </w:r>
          </w:p>
        </w:tc>
        <w:tc>
          <w:tcPr>
            <w:tcW w:w="1768" w:type="pct"/>
            <w:vMerge w:val="continue"/>
            <w:tcBorders>
              <w:top w:val="single" w:color="000000" w:sz="4" w:space="0"/>
              <w:left w:val="single" w:color="000000" w:sz="4" w:space="0"/>
              <w:bottom w:val="single" w:color="000000" w:sz="4" w:space="0"/>
              <w:right w:val="single" w:color="000000" w:sz="4" w:space="0"/>
            </w:tcBorders>
            <w:noWrap w:val="0"/>
            <w:vAlign w:val="top"/>
          </w:tcPr>
          <w:p w14:paraId="3464F248">
            <w:pPr>
              <w:jc w:val="left"/>
              <w:rPr>
                <w:rFonts w:hint="eastAsia" w:ascii="仿宋" w:hAnsi="仿宋" w:eastAsia="仿宋" w:cs="仿宋"/>
                <w:i w:val="0"/>
                <w:iCs w:val="0"/>
                <w:color w:val="000000"/>
                <w:sz w:val="22"/>
                <w:szCs w:val="22"/>
                <w:u w:val="none"/>
              </w:rPr>
            </w:pPr>
          </w:p>
        </w:tc>
        <w:tc>
          <w:tcPr>
            <w:tcW w:w="489" w:type="pct"/>
            <w:vMerge w:val="continue"/>
            <w:tcBorders>
              <w:top w:val="single" w:color="000000" w:sz="4" w:space="0"/>
              <w:left w:val="single" w:color="000000" w:sz="4" w:space="0"/>
              <w:bottom w:val="single" w:color="000000" w:sz="4" w:space="0"/>
              <w:right w:val="single" w:color="000000" w:sz="4" w:space="0"/>
            </w:tcBorders>
            <w:noWrap w:val="0"/>
            <w:vAlign w:val="center"/>
          </w:tcPr>
          <w:p w14:paraId="2815F330">
            <w:pPr>
              <w:jc w:val="center"/>
              <w:rPr>
                <w:rFonts w:hint="eastAsia" w:ascii="仿宋" w:hAnsi="仿宋" w:eastAsia="仿宋" w:cs="仿宋"/>
                <w:i w:val="0"/>
                <w:iCs w:val="0"/>
                <w:color w:val="000000"/>
                <w:sz w:val="22"/>
                <w:szCs w:val="22"/>
                <w:u w:val="none"/>
              </w:rPr>
            </w:pPr>
          </w:p>
        </w:tc>
        <w:tc>
          <w:tcPr>
            <w:tcW w:w="270" w:type="pct"/>
            <w:vMerge w:val="continue"/>
            <w:tcBorders>
              <w:top w:val="single" w:color="000000" w:sz="4" w:space="0"/>
              <w:left w:val="single" w:color="000000" w:sz="4" w:space="0"/>
              <w:bottom w:val="single" w:color="000000" w:sz="4" w:space="0"/>
              <w:right w:val="single" w:color="000000" w:sz="4" w:space="0"/>
            </w:tcBorders>
            <w:noWrap/>
            <w:vAlign w:val="center"/>
          </w:tcPr>
          <w:p w14:paraId="771EC2DB">
            <w:pPr>
              <w:jc w:val="left"/>
              <w:rPr>
                <w:rFonts w:hint="eastAsia" w:ascii="仿宋" w:hAnsi="仿宋" w:eastAsia="仿宋" w:cs="仿宋"/>
                <w:i w:val="0"/>
                <w:iCs w:val="0"/>
                <w:color w:val="000000"/>
                <w:sz w:val="22"/>
                <w:szCs w:val="22"/>
                <w:u w:val="none"/>
              </w:rPr>
            </w:pPr>
          </w:p>
        </w:tc>
      </w:tr>
      <w:tr w14:paraId="4FEB6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0" w:hRule="atLeast"/>
        </w:trPr>
        <w:tc>
          <w:tcPr>
            <w:tcW w:w="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5FB35C8D">
            <w:pPr>
              <w:jc w:val="center"/>
              <w:rPr>
                <w:rFonts w:hint="eastAsia" w:ascii="仿宋" w:hAnsi="仿宋" w:eastAsia="仿宋" w:cs="仿宋"/>
                <w:b/>
                <w:bCs/>
                <w:i w:val="0"/>
                <w:iCs w:val="0"/>
                <w:color w:val="000000"/>
                <w:sz w:val="24"/>
                <w:szCs w:val="24"/>
                <w:u w:val="none"/>
              </w:rPr>
            </w:pPr>
          </w:p>
        </w:tc>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3088680D">
            <w:pPr>
              <w:jc w:val="center"/>
              <w:rPr>
                <w:rFonts w:hint="eastAsia" w:ascii="仿宋" w:hAnsi="仿宋" w:eastAsia="仿宋" w:cs="仿宋"/>
                <w:i w:val="0"/>
                <w:iCs w:val="0"/>
                <w:color w:val="000000"/>
                <w:sz w:val="22"/>
                <w:szCs w:val="22"/>
                <w:u w:val="none"/>
              </w:rPr>
            </w:pPr>
          </w:p>
        </w:tc>
        <w:tc>
          <w:tcPr>
            <w:tcW w:w="1682" w:type="pct"/>
            <w:tcBorders>
              <w:top w:val="single" w:color="000000" w:sz="4" w:space="0"/>
              <w:left w:val="single" w:color="000000" w:sz="4" w:space="0"/>
              <w:bottom w:val="single" w:color="000000" w:sz="4" w:space="0"/>
              <w:right w:val="single" w:color="000000" w:sz="4" w:space="0"/>
            </w:tcBorders>
            <w:noWrap w:val="0"/>
            <w:vAlign w:val="top"/>
          </w:tcPr>
          <w:p w14:paraId="3348B6B7">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活动一：通过案例讲解提高应急救援能力以及逃生能力,开展进社区培训活动；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活动二：安全知识演练及消防器材的使用（9月份）</w:t>
            </w:r>
          </w:p>
        </w:tc>
        <w:tc>
          <w:tcPr>
            <w:tcW w:w="1768" w:type="pct"/>
            <w:tcBorders>
              <w:top w:val="single" w:color="000000" w:sz="4" w:space="0"/>
              <w:left w:val="single" w:color="000000" w:sz="4" w:space="0"/>
              <w:bottom w:val="single" w:color="000000" w:sz="4" w:space="0"/>
              <w:right w:val="single" w:color="000000" w:sz="4" w:space="0"/>
            </w:tcBorders>
            <w:noWrap w:val="0"/>
            <w:vAlign w:val="center"/>
          </w:tcPr>
          <w:p w14:paraId="6371BE4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工作人员费用：8人*300元*2场；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师资费：1000元*8学时*2场；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设备租赁费（消防设备、灭火器材、投影仪、音箱、灭火器（水基灭火器和干粉灭火器）、医疗急救箱、消防应急箱、防毒面罩、逃生绳、自救式呼吸器、消防演习桶）：10000元*2场；</w:t>
            </w:r>
          </w:p>
        </w:tc>
        <w:tc>
          <w:tcPr>
            <w:tcW w:w="489" w:type="pct"/>
            <w:tcBorders>
              <w:top w:val="single" w:color="000000" w:sz="4" w:space="0"/>
              <w:left w:val="single" w:color="000000" w:sz="4" w:space="0"/>
              <w:bottom w:val="single" w:color="000000" w:sz="4" w:space="0"/>
              <w:right w:val="single" w:color="000000" w:sz="4" w:space="0"/>
            </w:tcBorders>
            <w:noWrap w:val="0"/>
            <w:vAlign w:val="center"/>
          </w:tcPr>
          <w:p w14:paraId="714BFF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40800</w:t>
            </w:r>
          </w:p>
        </w:tc>
        <w:tc>
          <w:tcPr>
            <w:tcW w:w="270" w:type="pct"/>
            <w:vMerge w:val="continue"/>
            <w:tcBorders>
              <w:top w:val="single" w:color="000000" w:sz="4" w:space="0"/>
              <w:left w:val="single" w:color="000000" w:sz="4" w:space="0"/>
              <w:bottom w:val="single" w:color="000000" w:sz="4" w:space="0"/>
              <w:right w:val="single" w:color="000000" w:sz="4" w:space="0"/>
            </w:tcBorders>
            <w:noWrap/>
            <w:vAlign w:val="center"/>
          </w:tcPr>
          <w:p w14:paraId="31081EB2">
            <w:pPr>
              <w:jc w:val="left"/>
              <w:rPr>
                <w:rFonts w:hint="eastAsia" w:ascii="仿宋" w:hAnsi="仿宋" w:eastAsia="仿宋" w:cs="仿宋"/>
                <w:i w:val="0"/>
                <w:iCs w:val="0"/>
                <w:color w:val="000000"/>
                <w:sz w:val="22"/>
                <w:szCs w:val="22"/>
                <w:u w:val="none"/>
              </w:rPr>
            </w:pPr>
          </w:p>
        </w:tc>
      </w:tr>
      <w:tr w14:paraId="0C802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trPr>
        <w:tc>
          <w:tcPr>
            <w:tcW w:w="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116CB56A">
            <w:pPr>
              <w:jc w:val="center"/>
              <w:rPr>
                <w:rFonts w:hint="eastAsia" w:ascii="仿宋" w:hAnsi="仿宋" w:eastAsia="仿宋" w:cs="仿宋"/>
                <w:b/>
                <w:bCs/>
                <w:i w:val="0"/>
                <w:iCs w:val="0"/>
                <w:color w:val="000000"/>
                <w:sz w:val="24"/>
                <w:szCs w:val="24"/>
                <w:u w:val="none"/>
              </w:rPr>
            </w:pPr>
          </w:p>
        </w:tc>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1B86FF2E">
            <w:pPr>
              <w:jc w:val="center"/>
              <w:rPr>
                <w:rFonts w:hint="eastAsia" w:ascii="仿宋" w:hAnsi="仿宋" w:eastAsia="仿宋" w:cs="仿宋"/>
                <w:i w:val="0"/>
                <w:iCs w:val="0"/>
                <w:color w:val="000000"/>
                <w:sz w:val="22"/>
                <w:szCs w:val="22"/>
                <w:u w:val="none"/>
              </w:rPr>
            </w:pPr>
          </w:p>
        </w:tc>
        <w:tc>
          <w:tcPr>
            <w:tcW w:w="1682" w:type="pct"/>
            <w:tcBorders>
              <w:top w:val="single" w:color="000000" w:sz="4" w:space="0"/>
              <w:left w:val="single" w:color="000000" w:sz="4" w:space="0"/>
              <w:bottom w:val="single" w:color="000000" w:sz="4" w:space="0"/>
              <w:right w:val="single" w:color="000000" w:sz="4" w:space="0"/>
            </w:tcBorders>
            <w:noWrap w:val="0"/>
            <w:vAlign w:val="top"/>
          </w:tcPr>
          <w:p w14:paraId="64D14F8D">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安全体验培训服务：安全培训体验活动</w:t>
            </w:r>
          </w:p>
        </w:tc>
        <w:tc>
          <w:tcPr>
            <w:tcW w:w="1768" w:type="pct"/>
            <w:tcBorders>
              <w:top w:val="single" w:color="000000" w:sz="4" w:space="0"/>
              <w:left w:val="single" w:color="000000" w:sz="4" w:space="0"/>
              <w:bottom w:val="single" w:color="000000" w:sz="4" w:space="0"/>
              <w:right w:val="single" w:color="000000" w:sz="4" w:space="0"/>
            </w:tcBorders>
            <w:noWrap w:val="0"/>
            <w:vAlign w:val="center"/>
          </w:tcPr>
          <w:p w14:paraId="03BD325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体验馆参观费：100人*350元；</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餐费：100人*80元；</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材料费及交通费用：100人*70元。</w:t>
            </w:r>
          </w:p>
        </w:tc>
        <w:tc>
          <w:tcPr>
            <w:tcW w:w="489" w:type="pct"/>
            <w:tcBorders>
              <w:top w:val="single" w:color="000000" w:sz="4" w:space="0"/>
              <w:left w:val="single" w:color="000000" w:sz="4" w:space="0"/>
              <w:bottom w:val="single" w:color="000000" w:sz="4" w:space="0"/>
              <w:right w:val="single" w:color="000000" w:sz="4" w:space="0"/>
            </w:tcBorders>
            <w:noWrap w:val="0"/>
            <w:vAlign w:val="center"/>
          </w:tcPr>
          <w:p w14:paraId="41E2F6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50000</w:t>
            </w:r>
          </w:p>
        </w:tc>
        <w:tc>
          <w:tcPr>
            <w:tcW w:w="270" w:type="pct"/>
            <w:tcBorders>
              <w:top w:val="nil"/>
              <w:left w:val="single" w:color="000000" w:sz="4" w:space="0"/>
              <w:bottom w:val="nil"/>
              <w:right w:val="single" w:color="000000" w:sz="4" w:space="0"/>
            </w:tcBorders>
            <w:noWrap/>
            <w:vAlign w:val="center"/>
          </w:tcPr>
          <w:p w14:paraId="163F9AB2">
            <w:pPr>
              <w:jc w:val="left"/>
              <w:rPr>
                <w:rFonts w:hint="eastAsia" w:ascii="仿宋" w:hAnsi="仿宋" w:eastAsia="仿宋" w:cs="仿宋"/>
                <w:i w:val="0"/>
                <w:iCs w:val="0"/>
                <w:color w:val="000000"/>
                <w:sz w:val="22"/>
                <w:szCs w:val="22"/>
                <w:u w:val="none"/>
              </w:rPr>
            </w:pPr>
          </w:p>
        </w:tc>
      </w:tr>
      <w:tr w14:paraId="65E45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6BBD4E5E">
            <w:pPr>
              <w:jc w:val="center"/>
              <w:rPr>
                <w:rFonts w:hint="eastAsia" w:ascii="仿宋" w:hAnsi="仿宋" w:eastAsia="仿宋" w:cs="仿宋"/>
                <w:b/>
                <w:bCs/>
                <w:i w:val="0"/>
                <w:iCs w:val="0"/>
                <w:color w:val="000000"/>
                <w:sz w:val="24"/>
                <w:szCs w:val="24"/>
                <w:u w:val="none"/>
              </w:rPr>
            </w:pPr>
          </w:p>
        </w:tc>
        <w:tc>
          <w:tcPr>
            <w:tcW w:w="400" w:type="pct"/>
            <w:vMerge w:val="restart"/>
            <w:tcBorders>
              <w:top w:val="single" w:color="000000" w:sz="4" w:space="0"/>
              <w:left w:val="single" w:color="000000" w:sz="4" w:space="0"/>
              <w:bottom w:val="single" w:color="000000" w:sz="4" w:space="0"/>
              <w:right w:val="single" w:color="000000" w:sz="4" w:space="0"/>
            </w:tcBorders>
            <w:noWrap/>
            <w:vAlign w:val="center"/>
          </w:tcPr>
          <w:p w14:paraId="365DB4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第四季度</w:t>
            </w:r>
          </w:p>
        </w:tc>
        <w:tc>
          <w:tcPr>
            <w:tcW w:w="1682" w:type="pct"/>
            <w:tcBorders>
              <w:top w:val="single" w:color="000000" w:sz="4" w:space="0"/>
              <w:left w:val="single" w:color="000000" w:sz="4" w:space="0"/>
              <w:bottom w:val="single" w:color="000000" w:sz="4" w:space="0"/>
              <w:right w:val="single" w:color="000000" w:sz="4" w:space="0"/>
            </w:tcBorders>
            <w:noWrap w:val="0"/>
            <w:vAlign w:val="top"/>
          </w:tcPr>
          <w:p w14:paraId="3C3364DD">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第一场：应急能力提升、应急知识培训；</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第二场：消防安全知识培训（10-12月份）</w:t>
            </w:r>
          </w:p>
        </w:tc>
        <w:tc>
          <w:tcPr>
            <w:tcW w:w="1768" w:type="pct"/>
            <w:vMerge w:val="restart"/>
            <w:tcBorders>
              <w:top w:val="single" w:color="000000" w:sz="4" w:space="0"/>
              <w:left w:val="single" w:color="000000" w:sz="4" w:space="0"/>
              <w:bottom w:val="single" w:color="000000" w:sz="4" w:space="0"/>
              <w:right w:val="single" w:color="000000" w:sz="4" w:space="0"/>
            </w:tcBorders>
            <w:noWrap w:val="0"/>
            <w:vAlign w:val="top"/>
          </w:tcPr>
          <w:p w14:paraId="0FA34069">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餐费：学员：100人*50元*4场；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      工作人员：5人*50元*4场；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资料费：100人*30元*4场；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场地费：10000元*4场；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工作人员费用：5人*300元*4场；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师资费：1000元*8学时*4场；</w:t>
            </w:r>
          </w:p>
        </w:tc>
        <w:tc>
          <w:tcPr>
            <w:tcW w:w="489" w:type="pct"/>
            <w:vMerge w:val="restart"/>
            <w:tcBorders>
              <w:top w:val="single" w:color="000000" w:sz="4" w:space="0"/>
              <w:left w:val="single" w:color="000000" w:sz="4" w:space="0"/>
              <w:bottom w:val="single" w:color="000000" w:sz="4" w:space="0"/>
              <w:right w:val="single" w:color="000000" w:sz="4" w:space="0"/>
            </w:tcBorders>
            <w:noWrap w:val="0"/>
            <w:vAlign w:val="center"/>
          </w:tcPr>
          <w:p w14:paraId="273628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111000</w:t>
            </w:r>
          </w:p>
        </w:tc>
        <w:tc>
          <w:tcPr>
            <w:tcW w:w="270" w:type="pct"/>
            <w:vMerge w:val="restart"/>
            <w:tcBorders>
              <w:top w:val="single" w:color="000000" w:sz="4" w:space="0"/>
              <w:left w:val="single" w:color="000000" w:sz="4" w:space="0"/>
              <w:bottom w:val="single" w:color="000000" w:sz="4" w:space="0"/>
              <w:right w:val="single" w:color="000000" w:sz="4" w:space="0"/>
            </w:tcBorders>
            <w:noWrap/>
            <w:vAlign w:val="center"/>
          </w:tcPr>
          <w:p w14:paraId="28EA4CE0">
            <w:pPr>
              <w:jc w:val="left"/>
              <w:rPr>
                <w:rFonts w:hint="eastAsia" w:ascii="仿宋" w:hAnsi="仿宋" w:eastAsia="仿宋" w:cs="仿宋"/>
                <w:i w:val="0"/>
                <w:iCs w:val="0"/>
                <w:color w:val="000000"/>
                <w:sz w:val="22"/>
                <w:szCs w:val="22"/>
                <w:u w:val="none"/>
              </w:rPr>
            </w:pPr>
          </w:p>
        </w:tc>
      </w:tr>
      <w:tr w14:paraId="3EE8D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06916F56">
            <w:pPr>
              <w:jc w:val="center"/>
              <w:rPr>
                <w:rFonts w:hint="eastAsia" w:ascii="仿宋" w:hAnsi="仿宋" w:eastAsia="仿宋" w:cs="仿宋"/>
                <w:b/>
                <w:bCs/>
                <w:i w:val="0"/>
                <w:iCs w:val="0"/>
                <w:color w:val="000000"/>
                <w:sz w:val="24"/>
                <w:szCs w:val="24"/>
                <w:u w:val="none"/>
              </w:rPr>
            </w:pPr>
          </w:p>
        </w:tc>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0C919E33">
            <w:pPr>
              <w:jc w:val="center"/>
              <w:rPr>
                <w:rFonts w:hint="eastAsia" w:ascii="仿宋" w:hAnsi="仿宋" w:eastAsia="仿宋" w:cs="仿宋"/>
                <w:i w:val="0"/>
                <w:iCs w:val="0"/>
                <w:color w:val="000000"/>
                <w:sz w:val="22"/>
                <w:szCs w:val="22"/>
                <w:u w:val="none"/>
              </w:rPr>
            </w:pPr>
          </w:p>
        </w:tc>
        <w:tc>
          <w:tcPr>
            <w:tcW w:w="1682" w:type="pct"/>
            <w:tcBorders>
              <w:top w:val="single" w:color="000000" w:sz="4" w:space="0"/>
              <w:left w:val="single" w:color="000000" w:sz="4" w:space="0"/>
              <w:bottom w:val="single" w:color="000000" w:sz="4" w:space="0"/>
              <w:right w:val="single" w:color="000000" w:sz="4" w:space="0"/>
            </w:tcBorders>
            <w:noWrap w:val="0"/>
            <w:vAlign w:val="top"/>
          </w:tcPr>
          <w:p w14:paraId="6AB46D60">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第三场：防火安全知识及火灾隐患治理知识培训；</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第四场：事故应急管理培训、交通安全（10-12月份）</w:t>
            </w:r>
          </w:p>
        </w:tc>
        <w:tc>
          <w:tcPr>
            <w:tcW w:w="1768" w:type="pct"/>
            <w:vMerge w:val="continue"/>
            <w:tcBorders>
              <w:top w:val="single" w:color="000000" w:sz="4" w:space="0"/>
              <w:left w:val="single" w:color="000000" w:sz="4" w:space="0"/>
              <w:bottom w:val="single" w:color="000000" w:sz="4" w:space="0"/>
              <w:right w:val="single" w:color="000000" w:sz="4" w:space="0"/>
            </w:tcBorders>
            <w:noWrap w:val="0"/>
            <w:vAlign w:val="top"/>
          </w:tcPr>
          <w:p w14:paraId="62925803">
            <w:pPr>
              <w:jc w:val="left"/>
              <w:rPr>
                <w:rFonts w:hint="eastAsia" w:ascii="仿宋" w:hAnsi="仿宋" w:eastAsia="仿宋" w:cs="仿宋"/>
                <w:i w:val="0"/>
                <w:iCs w:val="0"/>
                <w:color w:val="000000"/>
                <w:sz w:val="22"/>
                <w:szCs w:val="22"/>
                <w:u w:val="none"/>
              </w:rPr>
            </w:pPr>
          </w:p>
        </w:tc>
        <w:tc>
          <w:tcPr>
            <w:tcW w:w="489" w:type="pct"/>
            <w:vMerge w:val="continue"/>
            <w:tcBorders>
              <w:top w:val="single" w:color="000000" w:sz="4" w:space="0"/>
              <w:left w:val="single" w:color="000000" w:sz="4" w:space="0"/>
              <w:bottom w:val="single" w:color="000000" w:sz="4" w:space="0"/>
              <w:right w:val="single" w:color="000000" w:sz="4" w:space="0"/>
            </w:tcBorders>
            <w:noWrap w:val="0"/>
            <w:vAlign w:val="center"/>
          </w:tcPr>
          <w:p w14:paraId="4BCBBD81">
            <w:pPr>
              <w:jc w:val="center"/>
              <w:rPr>
                <w:rFonts w:hint="eastAsia" w:ascii="仿宋" w:hAnsi="仿宋" w:eastAsia="仿宋" w:cs="仿宋"/>
                <w:i w:val="0"/>
                <w:iCs w:val="0"/>
                <w:color w:val="000000"/>
                <w:sz w:val="22"/>
                <w:szCs w:val="22"/>
                <w:u w:val="none"/>
              </w:rPr>
            </w:pPr>
          </w:p>
        </w:tc>
        <w:tc>
          <w:tcPr>
            <w:tcW w:w="270" w:type="pct"/>
            <w:vMerge w:val="continue"/>
            <w:tcBorders>
              <w:top w:val="single" w:color="000000" w:sz="4" w:space="0"/>
              <w:left w:val="single" w:color="000000" w:sz="4" w:space="0"/>
              <w:bottom w:val="single" w:color="000000" w:sz="4" w:space="0"/>
              <w:right w:val="single" w:color="000000" w:sz="4" w:space="0"/>
            </w:tcBorders>
            <w:noWrap/>
            <w:vAlign w:val="center"/>
          </w:tcPr>
          <w:p w14:paraId="00390D5E">
            <w:pPr>
              <w:jc w:val="left"/>
              <w:rPr>
                <w:rFonts w:hint="eastAsia" w:ascii="仿宋" w:hAnsi="仿宋" w:eastAsia="仿宋" w:cs="仿宋"/>
                <w:i w:val="0"/>
                <w:iCs w:val="0"/>
                <w:color w:val="000000"/>
                <w:sz w:val="22"/>
                <w:szCs w:val="22"/>
                <w:u w:val="none"/>
              </w:rPr>
            </w:pPr>
          </w:p>
        </w:tc>
      </w:tr>
      <w:tr w14:paraId="34C0B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0" w:hRule="atLeast"/>
        </w:trPr>
        <w:tc>
          <w:tcPr>
            <w:tcW w:w="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6DE4DD96">
            <w:pPr>
              <w:jc w:val="center"/>
              <w:rPr>
                <w:rFonts w:hint="eastAsia" w:ascii="仿宋" w:hAnsi="仿宋" w:eastAsia="仿宋" w:cs="仿宋"/>
                <w:b/>
                <w:bCs/>
                <w:i w:val="0"/>
                <w:iCs w:val="0"/>
                <w:color w:val="000000"/>
                <w:sz w:val="24"/>
                <w:szCs w:val="24"/>
                <w:u w:val="none"/>
              </w:rPr>
            </w:pPr>
          </w:p>
        </w:tc>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4867C28A">
            <w:pPr>
              <w:jc w:val="center"/>
              <w:rPr>
                <w:rFonts w:hint="eastAsia" w:ascii="仿宋" w:hAnsi="仿宋" w:eastAsia="仿宋" w:cs="仿宋"/>
                <w:i w:val="0"/>
                <w:iCs w:val="0"/>
                <w:color w:val="000000"/>
                <w:sz w:val="22"/>
                <w:szCs w:val="22"/>
                <w:u w:val="none"/>
              </w:rPr>
            </w:pPr>
          </w:p>
        </w:tc>
        <w:tc>
          <w:tcPr>
            <w:tcW w:w="1682" w:type="pct"/>
            <w:tcBorders>
              <w:top w:val="single" w:color="000000" w:sz="4" w:space="0"/>
              <w:left w:val="single" w:color="000000" w:sz="4" w:space="0"/>
              <w:bottom w:val="single" w:color="000000" w:sz="4" w:space="0"/>
              <w:right w:val="single" w:color="000000" w:sz="4" w:space="0"/>
            </w:tcBorders>
            <w:noWrap w:val="0"/>
            <w:vAlign w:val="top"/>
          </w:tcPr>
          <w:p w14:paraId="3F610C5C">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活动一：通过校内组织消防应急演练开展进学校培训活动；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活动二：微型消防站及消防车的实操培训活动（12月份）</w:t>
            </w:r>
          </w:p>
        </w:tc>
        <w:tc>
          <w:tcPr>
            <w:tcW w:w="1768" w:type="pct"/>
            <w:tcBorders>
              <w:top w:val="single" w:color="000000" w:sz="4" w:space="0"/>
              <w:left w:val="single" w:color="000000" w:sz="4" w:space="0"/>
              <w:bottom w:val="single" w:color="000000" w:sz="4" w:space="0"/>
              <w:right w:val="single" w:color="000000" w:sz="4" w:space="0"/>
            </w:tcBorders>
            <w:noWrap w:val="0"/>
            <w:vAlign w:val="center"/>
          </w:tcPr>
          <w:p w14:paraId="0537503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工作人员费用：8人*300元*2场；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师资费：1000元*8学时*2场；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设备租赁费（消防设备、灭火器材、投影仪、音箱、灭火器（水基灭火器和干粉灭火器）、医疗急救箱、消防应急箱、防毒面罩、逃生绳、自救式呼吸器、消防演习桶）：10000元*2场；</w:t>
            </w:r>
          </w:p>
        </w:tc>
        <w:tc>
          <w:tcPr>
            <w:tcW w:w="489" w:type="pct"/>
            <w:tcBorders>
              <w:top w:val="single" w:color="000000" w:sz="4" w:space="0"/>
              <w:left w:val="single" w:color="000000" w:sz="4" w:space="0"/>
              <w:bottom w:val="single" w:color="000000" w:sz="4" w:space="0"/>
              <w:right w:val="single" w:color="000000" w:sz="4" w:space="0"/>
            </w:tcBorders>
            <w:noWrap w:val="0"/>
            <w:vAlign w:val="center"/>
          </w:tcPr>
          <w:p w14:paraId="07EC4F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40800</w:t>
            </w:r>
          </w:p>
        </w:tc>
        <w:tc>
          <w:tcPr>
            <w:tcW w:w="270" w:type="pct"/>
            <w:vMerge w:val="continue"/>
            <w:tcBorders>
              <w:top w:val="single" w:color="000000" w:sz="4" w:space="0"/>
              <w:left w:val="single" w:color="000000" w:sz="4" w:space="0"/>
              <w:bottom w:val="single" w:color="000000" w:sz="4" w:space="0"/>
              <w:right w:val="single" w:color="000000" w:sz="4" w:space="0"/>
            </w:tcBorders>
            <w:noWrap/>
            <w:vAlign w:val="center"/>
          </w:tcPr>
          <w:p w14:paraId="5241F2A4">
            <w:pPr>
              <w:jc w:val="left"/>
              <w:rPr>
                <w:rFonts w:hint="eastAsia" w:ascii="仿宋" w:hAnsi="仿宋" w:eastAsia="仿宋" w:cs="仿宋"/>
                <w:i w:val="0"/>
                <w:iCs w:val="0"/>
                <w:color w:val="000000"/>
                <w:sz w:val="22"/>
                <w:szCs w:val="22"/>
                <w:u w:val="none"/>
              </w:rPr>
            </w:pPr>
          </w:p>
        </w:tc>
      </w:tr>
      <w:tr w14:paraId="62DDF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484E6ACB">
            <w:pPr>
              <w:jc w:val="center"/>
              <w:rPr>
                <w:rFonts w:hint="eastAsia" w:ascii="仿宋" w:hAnsi="仿宋" w:eastAsia="仿宋" w:cs="仿宋"/>
                <w:b/>
                <w:bCs/>
                <w:i w:val="0"/>
                <w:iCs w:val="0"/>
                <w:color w:val="000000"/>
                <w:sz w:val="24"/>
                <w:szCs w:val="24"/>
                <w:u w:val="none"/>
              </w:rPr>
            </w:pPr>
          </w:p>
        </w:tc>
        <w:tc>
          <w:tcPr>
            <w:tcW w:w="3851" w:type="pct"/>
            <w:gridSpan w:val="3"/>
            <w:tcBorders>
              <w:top w:val="single" w:color="000000" w:sz="4" w:space="0"/>
              <w:left w:val="single" w:color="000000" w:sz="4" w:space="0"/>
              <w:bottom w:val="single" w:color="000000" w:sz="4" w:space="0"/>
              <w:right w:val="single" w:color="000000" w:sz="4" w:space="0"/>
            </w:tcBorders>
            <w:noWrap/>
            <w:vAlign w:val="center"/>
          </w:tcPr>
          <w:p w14:paraId="32BBFE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总计（元）</w:t>
            </w:r>
          </w:p>
        </w:tc>
        <w:tc>
          <w:tcPr>
            <w:tcW w:w="489" w:type="pct"/>
            <w:tcBorders>
              <w:top w:val="single" w:color="000000" w:sz="4" w:space="0"/>
              <w:left w:val="single" w:color="000000" w:sz="4" w:space="0"/>
              <w:bottom w:val="single" w:color="000000" w:sz="4" w:space="0"/>
              <w:right w:val="single" w:color="000000" w:sz="4" w:space="0"/>
            </w:tcBorders>
            <w:noWrap/>
            <w:vAlign w:val="center"/>
          </w:tcPr>
          <w:p w14:paraId="20B1C617">
            <w:pPr>
              <w:keepNext w:val="0"/>
              <w:keepLines w:val="0"/>
              <w:widowControl/>
              <w:suppressLineNumbers w:val="0"/>
              <w:jc w:val="center"/>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657200</w:t>
            </w:r>
          </w:p>
        </w:tc>
        <w:tc>
          <w:tcPr>
            <w:tcW w:w="270" w:type="pct"/>
            <w:tcBorders>
              <w:top w:val="single" w:color="000000" w:sz="4" w:space="0"/>
              <w:left w:val="single" w:color="000000" w:sz="4" w:space="0"/>
              <w:bottom w:val="single" w:color="000000" w:sz="4" w:space="0"/>
              <w:right w:val="single" w:color="000000" w:sz="4" w:space="0"/>
            </w:tcBorders>
            <w:noWrap/>
            <w:vAlign w:val="center"/>
          </w:tcPr>
          <w:p w14:paraId="4E2DAB7B">
            <w:pPr>
              <w:jc w:val="left"/>
              <w:rPr>
                <w:rFonts w:hint="eastAsia" w:ascii="仿宋" w:hAnsi="仿宋" w:eastAsia="仿宋" w:cs="仿宋"/>
                <w:b w:val="0"/>
                <w:bCs w:val="0"/>
                <w:i w:val="0"/>
                <w:iCs w:val="0"/>
                <w:color w:val="000000"/>
                <w:sz w:val="22"/>
                <w:szCs w:val="22"/>
                <w:u w:val="none"/>
              </w:rPr>
            </w:pPr>
          </w:p>
        </w:tc>
      </w:tr>
    </w:tbl>
    <w:p w14:paraId="57916BC3">
      <w:pPr>
        <w:pStyle w:val="2"/>
        <w:rPr>
          <w:rFonts w:hint="eastAsia"/>
          <w:sz w:val="22"/>
          <w:szCs w:val="22"/>
          <w:lang w:val="en-US" w:eastAsia="zh-CN"/>
        </w:rPr>
      </w:pPr>
      <w:r>
        <w:rPr>
          <w:rFonts w:hint="eastAsia"/>
          <w:sz w:val="22"/>
          <w:szCs w:val="22"/>
          <w:lang w:val="en-US" w:eastAsia="zh-CN"/>
        </w:rPr>
        <w:t>备注：最终培训内容、场次及费用以实际发生为准</w:t>
      </w:r>
    </w:p>
    <w:p w14:paraId="6A1D6ADD">
      <w:pPr>
        <w:pStyle w:val="2"/>
        <w:ind w:left="0" w:leftChars="0" w:firstLine="280" w:firstLineChars="100"/>
        <w:rPr>
          <w:rFonts w:hint="eastAsia" w:ascii="仿宋" w:hAnsi="仿宋" w:eastAsia="仿宋" w:cs="仿宋"/>
          <w:b w:val="0"/>
          <w:bCs w:val="0"/>
          <w:i w:val="0"/>
          <w:iCs w:val="0"/>
          <w:color w:val="000000"/>
          <w:kern w:val="0"/>
          <w:sz w:val="28"/>
          <w:szCs w:val="28"/>
          <w:u w:val="none"/>
          <w:lang w:val="en-US" w:eastAsia="zh-CN" w:bidi="ar"/>
        </w:rPr>
      </w:pPr>
    </w:p>
    <w:p w14:paraId="4E80D65F">
      <w:pPr>
        <w:pStyle w:val="2"/>
        <w:ind w:left="0" w:leftChars="0" w:firstLine="280" w:firstLineChars="100"/>
        <w:rPr>
          <w:rFonts w:hint="default"/>
          <w:sz w:val="28"/>
          <w:szCs w:val="28"/>
          <w:lang w:val="en-US" w:eastAsia="zh-CN"/>
        </w:rPr>
        <w:sectPr>
          <w:pgSz w:w="11906" w:h="16838"/>
          <w:pgMar w:top="1440" w:right="1800" w:bottom="1440" w:left="1800" w:header="851" w:footer="992" w:gutter="0"/>
          <w:pgNumType w:fmt="decimal"/>
          <w:cols w:space="720" w:num="1"/>
          <w:docGrid w:type="lines" w:linePitch="312" w:charSpace="0"/>
        </w:sectPr>
      </w:pPr>
      <w:r>
        <w:rPr>
          <w:rFonts w:hint="eastAsia" w:ascii="仿宋" w:hAnsi="仿宋" w:eastAsia="仿宋" w:cs="仿宋"/>
          <w:b w:val="0"/>
          <w:bCs w:val="0"/>
          <w:i w:val="0"/>
          <w:iCs w:val="0"/>
          <w:color w:val="000000"/>
          <w:kern w:val="0"/>
          <w:sz w:val="28"/>
          <w:szCs w:val="28"/>
          <w:u w:val="none"/>
          <w:lang w:val="en-US" w:eastAsia="zh-CN" w:bidi="ar"/>
        </w:rPr>
        <w:t>65.72为合同金额，此项工作为2024年项目为期1年，申请合同金额的50%：32.86作为2025年预算，最终结算金额以审计金额为</w:t>
      </w:r>
    </w:p>
    <w:p w14:paraId="25F0F117">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14:paraId="00C7F83C">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p>
    <w:p w14:paraId="205D2A32">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14:paraId="0C3A2284">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14:paraId="302E3A46">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w:t>
      </w:r>
      <w:r>
        <w:rPr>
          <w:rFonts w:hint="eastAsia" w:ascii="宋体" w:hAnsi="宋体" w:cs="宋体"/>
          <w:b/>
          <w:bCs/>
          <w:sz w:val="32"/>
          <w:szCs w:val="32"/>
          <w:lang w:val="en-US" w:eastAsia="zh-CN"/>
        </w:rPr>
        <w:t>2025</w:t>
      </w:r>
      <w:r>
        <w:rPr>
          <w:rFonts w:hint="eastAsia" w:ascii="宋体" w:hAnsi="宋体" w:eastAsia="宋体" w:cs="宋体"/>
          <w:b/>
          <w:bCs/>
          <w:sz w:val="32"/>
          <w:szCs w:val="32"/>
          <w:lang w:val="en-US" w:eastAsia="zh-CN"/>
        </w:rPr>
        <w:t>年内完成</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53B94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40" w:type="dxa"/>
            <w:vAlign w:val="center"/>
          </w:tcPr>
          <w:p w14:paraId="24B54747">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14:paraId="72DA0F19">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14:paraId="176E5263">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14:paraId="05DD3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restart"/>
            <w:shd w:val="clear" w:color="auto" w:fill="auto"/>
            <w:vAlign w:val="top"/>
          </w:tcPr>
          <w:p w14:paraId="3BE85AC0">
            <w:pPr>
              <w:numPr>
                <w:ilvl w:val="0"/>
                <w:numId w:val="0"/>
              </w:numPr>
              <w:ind w:left="0" w:leftChars="0" w:firstLine="0" w:firstLineChars="0"/>
              <w:jc w:val="left"/>
              <w:rPr>
                <w:rFonts w:hint="eastAsia" w:ascii="宋体" w:hAnsi="宋体" w:eastAsia="宋体" w:cs="宋体"/>
                <w:b/>
                <w:bCs/>
                <w:kern w:val="2"/>
                <w:sz w:val="32"/>
                <w:szCs w:val="32"/>
                <w:lang w:val="en-US" w:eastAsia="zh-CN" w:bidi="ar-SA"/>
              </w:rPr>
            </w:pPr>
            <w:r>
              <w:rPr>
                <w:rFonts w:hint="eastAsia"/>
                <w:b w:val="0"/>
                <w:bCs w:val="0"/>
                <w:sz w:val="32"/>
                <w:szCs w:val="32"/>
                <w:lang w:val="en-US" w:eastAsia="zh-CN"/>
              </w:rPr>
              <w:t>安全技能知识提升服务(50%)</w:t>
            </w:r>
          </w:p>
        </w:tc>
        <w:tc>
          <w:tcPr>
            <w:tcW w:w="2841" w:type="dxa"/>
            <w:shd w:val="clear" w:color="auto" w:fill="auto"/>
            <w:vAlign w:val="top"/>
          </w:tcPr>
          <w:p w14:paraId="18CE10D0">
            <w:pPr>
              <w:numPr>
                <w:ilvl w:val="0"/>
                <w:numId w:val="0"/>
              </w:numPr>
              <w:ind w:left="0" w:leftChars="0" w:firstLine="0" w:firstLineChars="0"/>
              <w:jc w:val="left"/>
              <w:rPr>
                <w:rFonts w:hint="eastAsia" w:ascii="宋体" w:hAnsi="宋体" w:eastAsia="宋体" w:cs="宋体"/>
                <w:b w:val="0"/>
                <w:bCs w:val="0"/>
                <w:kern w:val="2"/>
                <w:sz w:val="32"/>
                <w:szCs w:val="32"/>
                <w:lang w:val="en-US" w:eastAsia="zh-CN" w:bidi="ar-SA"/>
              </w:rPr>
            </w:pPr>
            <w:r>
              <w:rPr>
                <w:rFonts w:hint="eastAsia" w:ascii="宋体" w:hAnsi="宋体" w:cs="宋体"/>
                <w:b w:val="0"/>
                <w:bCs w:val="0"/>
                <w:sz w:val="32"/>
                <w:szCs w:val="32"/>
                <w:lang w:val="en-US" w:eastAsia="zh-CN"/>
              </w:rPr>
              <w:t>2025年7月前</w:t>
            </w:r>
          </w:p>
        </w:tc>
        <w:tc>
          <w:tcPr>
            <w:tcW w:w="2841" w:type="dxa"/>
            <w:shd w:val="clear" w:color="auto" w:fill="auto"/>
            <w:vAlign w:val="top"/>
          </w:tcPr>
          <w:p w14:paraId="5073EFEE">
            <w:pPr>
              <w:numPr>
                <w:ilvl w:val="0"/>
                <w:numId w:val="0"/>
              </w:numPr>
              <w:ind w:left="0" w:leftChars="0" w:firstLine="0" w:firstLineChars="0"/>
              <w:jc w:val="left"/>
              <w:rPr>
                <w:rFonts w:hint="eastAsia" w:ascii="宋体" w:hAnsi="宋体" w:eastAsia="宋体" w:cs="宋体"/>
                <w:b w:val="0"/>
                <w:bCs w:val="0"/>
                <w:kern w:val="2"/>
                <w:sz w:val="32"/>
                <w:szCs w:val="32"/>
                <w:lang w:val="en-US" w:eastAsia="zh-CN" w:bidi="ar-SA"/>
              </w:rPr>
            </w:pPr>
            <w:r>
              <w:rPr>
                <w:rFonts w:hint="eastAsia" w:ascii="宋体" w:hAnsi="宋体" w:cs="宋体"/>
                <w:b w:val="0"/>
                <w:bCs w:val="0"/>
                <w:sz w:val="32"/>
                <w:szCs w:val="32"/>
                <w:lang w:val="en-US" w:eastAsia="zh-CN"/>
              </w:rPr>
              <w:t>完成100%</w:t>
            </w:r>
          </w:p>
        </w:tc>
      </w:tr>
      <w:tr w14:paraId="1DEA2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vAlign w:val="top"/>
          </w:tcPr>
          <w:p w14:paraId="120AC4E2">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6C7A7E9E">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41BB21B0">
            <w:pPr>
              <w:numPr>
                <w:ilvl w:val="0"/>
                <w:numId w:val="0"/>
              </w:numPr>
              <w:jc w:val="left"/>
              <w:rPr>
                <w:rFonts w:hint="eastAsia" w:ascii="宋体" w:hAnsi="宋体" w:eastAsia="宋体" w:cs="宋体"/>
                <w:b/>
                <w:bCs/>
                <w:sz w:val="32"/>
                <w:szCs w:val="32"/>
                <w:lang w:val="en-US" w:eastAsia="zh-CN"/>
              </w:rPr>
            </w:pPr>
          </w:p>
        </w:tc>
      </w:tr>
    </w:tbl>
    <w:p w14:paraId="091BBE3B">
      <w:pPr>
        <w:numPr>
          <w:ilvl w:val="0"/>
          <w:numId w:val="0"/>
        </w:numPr>
        <w:ind w:leftChars="0"/>
        <w:jc w:val="left"/>
        <w:rPr>
          <w:rFonts w:hint="eastAsia" w:ascii="宋体" w:hAnsi="宋体" w:eastAsia="宋体" w:cs="宋体"/>
          <w:b/>
          <w:bCs/>
          <w:sz w:val="32"/>
          <w:szCs w:val="32"/>
          <w:lang w:val="en-US" w:eastAsia="zh-CN"/>
        </w:rPr>
      </w:pPr>
    </w:p>
    <w:p w14:paraId="4B3C669A">
      <w:pPr>
        <w:numPr>
          <w:ilvl w:val="0"/>
          <w:numId w:val="0"/>
        </w:numPr>
        <w:ind w:leftChars="0"/>
        <w:jc w:val="left"/>
        <w:rPr>
          <w:rFonts w:hint="eastAsia" w:ascii="宋体" w:hAnsi="宋体" w:eastAsia="宋体" w:cs="宋体"/>
          <w:b/>
          <w:bCs/>
          <w:sz w:val="32"/>
          <w:szCs w:val="32"/>
          <w:lang w:val="en-US" w:eastAsia="zh-CN"/>
        </w:rPr>
      </w:pPr>
    </w:p>
    <w:p w14:paraId="18192357">
      <w:pPr>
        <w:numPr>
          <w:ilvl w:val="0"/>
          <w:numId w:val="0"/>
        </w:numPr>
        <w:ind w:left="803" w:leftChars="0"/>
        <w:jc w:val="left"/>
        <w:rPr>
          <w:rFonts w:hint="eastAsia" w:ascii="宋体" w:hAnsi="宋体" w:eastAsia="宋体" w:cs="宋体"/>
          <w:b w:val="0"/>
          <w:bCs w:val="0"/>
          <w:sz w:val="28"/>
          <w:szCs w:val="28"/>
          <w:lang w:val="en-US" w:eastAsia="zh-CN"/>
        </w:rPr>
      </w:pPr>
    </w:p>
    <w:p w14:paraId="35AA8587">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14:paraId="1F9A170E">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14:paraId="0234AD39">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6"/>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14:paraId="659A5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2" w:type="dxa"/>
            <w:gridSpan w:val="7"/>
            <w:vAlign w:val="top"/>
          </w:tcPr>
          <w:p w14:paraId="4E8C7BE5">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14:paraId="65455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2" w:type="dxa"/>
            <w:gridSpan w:val="7"/>
            <w:vAlign w:val="top"/>
          </w:tcPr>
          <w:p w14:paraId="1387DF63">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14:paraId="084D3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top"/>
          </w:tcPr>
          <w:p w14:paraId="79FF8373">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14:paraId="2FE4E382">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14:paraId="2B7A837A">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14:paraId="64021F16">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14:paraId="6360AA36">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14:paraId="50267D58">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14:paraId="1DD8F2C6">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14:paraId="66348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top"/>
          </w:tcPr>
          <w:p w14:paraId="027AE26B">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14:paraId="3C2D70FD">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14:paraId="55FA70C8">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14:paraId="2370622E">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20BAC784">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6445EFF4">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230434E0">
            <w:pPr>
              <w:numPr>
                <w:ilvl w:val="0"/>
                <w:numId w:val="0"/>
              </w:numPr>
              <w:jc w:val="center"/>
              <w:rPr>
                <w:rFonts w:hint="eastAsia" w:ascii="宋体" w:hAnsi="宋体" w:eastAsia="宋体" w:cs="宋体"/>
                <w:b w:val="0"/>
                <w:bCs w:val="0"/>
                <w:sz w:val="28"/>
                <w:szCs w:val="28"/>
                <w:lang w:val="en-US" w:eastAsia="zh-CN"/>
              </w:rPr>
            </w:pPr>
          </w:p>
        </w:tc>
      </w:tr>
      <w:tr w14:paraId="2A72B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7" w:type="dxa"/>
            <w:gridSpan w:val="6"/>
            <w:vAlign w:val="top"/>
          </w:tcPr>
          <w:p w14:paraId="4FDD5426">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14:paraId="6D3320F9">
            <w:pPr>
              <w:numPr>
                <w:ilvl w:val="0"/>
                <w:numId w:val="0"/>
              </w:numPr>
              <w:jc w:val="center"/>
              <w:rPr>
                <w:rFonts w:hint="eastAsia" w:ascii="宋体" w:hAnsi="宋体" w:eastAsia="宋体" w:cs="宋体"/>
                <w:b w:val="0"/>
                <w:bCs w:val="0"/>
                <w:sz w:val="28"/>
                <w:szCs w:val="28"/>
                <w:lang w:val="en-US" w:eastAsia="zh-CN"/>
              </w:rPr>
            </w:pPr>
          </w:p>
        </w:tc>
      </w:tr>
    </w:tbl>
    <w:p w14:paraId="6C0C2F03">
      <w:pPr>
        <w:numPr>
          <w:ilvl w:val="0"/>
          <w:numId w:val="0"/>
        </w:numPr>
        <w:jc w:val="left"/>
        <w:rPr>
          <w:rFonts w:hint="eastAsia" w:ascii="宋体" w:hAnsi="宋体" w:eastAsia="宋体" w:cs="宋体"/>
          <w:b/>
          <w:bCs/>
          <w:sz w:val="32"/>
          <w:szCs w:val="32"/>
          <w:lang w:val="en-US" w:eastAsia="zh-CN"/>
        </w:rPr>
      </w:pPr>
    </w:p>
    <w:p w14:paraId="18E1B819">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隶书">
    <w:panose1 w:val="02010800040101010101"/>
    <w:charset w:val="86"/>
    <w:family w:val="auto"/>
    <w:pitch w:val="default"/>
    <w:sig w:usb0="00000001" w:usb1="080F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hOTRjMGI1OGJjZGYwODQ4ODhjNTdkNzkyZTg2NTEifQ=="/>
  </w:docVars>
  <w:rsids>
    <w:rsidRoot w:val="34B53ED7"/>
    <w:rsid w:val="0A5D4D63"/>
    <w:rsid w:val="13F73D10"/>
    <w:rsid w:val="1E062E63"/>
    <w:rsid w:val="2C1072DD"/>
    <w:rsid w:val="2F471EE1"/>
    <w:rsid w:val="308113CB"/>
    <w:rsid w:val="34B53ED7"/>
    <w:rsid w:val="46F60875"/>
    <w:rsid w:val="4F815F87"/>
    <w:rsid w:val="51256E6B"/>
    <w:rsid w:val="54F9326F"/>
    <w:rsid w:val="59467262"/>
    <w:rsid w:val="625005B0"/>
    <w:rsid w:val="651C2939"/>
    <w:rsid w:val="6D535020"/>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10</Pages>
  <Words>925</Words>
  <Characters>982</Characters>
  <Lines>0</Lines>
  <Paragraphs>0</Paragraphs>
  <TotalTime>6</TotalTime>
  <ScaleCrop>false</ScaleCrop>
  <LinksUpToDate>false</LinksUpToDate>
  <CharactersWithSpaces>1098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雨果晴天)Θάρρος</cp:lastModifiedBy>
  <cp:lastPrinted>2018-09-07T03:15:00Z</cp:lastPrinted>
  <dcterms:modified xsi:type="dcterms:W3CDTF">2024-09-01T09:14:15Z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E55F00F1B3164F78B5F41216E2AF83B8_13</vt:lpwstr>
  </property>
</Properties>
</file>